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val="0"/>
        <w:wordWrap/>
        <w:overflowPunct/>
        <w:topLinePunct w:val="0"/>
        <w:autoSpaceDE w:val="0"/>
        <w:autoSpaceDN w:val="0"/>
        <w:bidi w:val="0"/>
        <w:adjustRightInd w:val="0"/>
        <w:snapToGrid w:val="0"/>
        <w:spacing w:line="16784" w:lineRule="exact"/>
        <w:textAlignment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7525385" cy="1065784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8"/>
                    <a:stretch>
                      <a:fillRect/>
                    </a:stretch>
                  </pic:blipFill>
                  <pic:spPr>
                    <a:xfrm>
                      <a:off x="0" y="0"/>
                      <a:ext cx="7526019" cy="10657840"/>
                    </a:xfrm>
                    <a:prstGeom prst="rect">
                      <a:avLst/>
                    </a:prstGeom>
                  </pic:spPr>
                </pic:pic>
              </a:graphicData>
            </a:graphic>
          </wp:inline>
        </w:drawing>
      </w:r>
    </w:p>
    <w:p>
      <w:pPr>
        <w:pageBreakBefore w:val="0"/>
        <w:widowControl/>
        <w:kinsoku w:val="0"/>
        <w:wordWrap/>
        <w:overflowPunct/>
        <w:topLinePunct w:val="0"/>
        <w:autoSpaceDE w:val="0"/>
        <w:autoSpaceDN w:val="0"/>
        <w:bidi w:val="0"/>
        <w:adjustRightInd w:val="0"/>
        <w:snapToGrid w:val="0"/>
        <w:rPr>
          <w:color w:val="000000" w:themeColor="text1"/>
          <w:sz w:val="28"/>
          <w:szCs w:val="28"/>
          <w14:textFill>
            <w14:solidFill>
              <w14:schemeClr w14:val="tx1"/>
            </w14:solidFill>
          </w14:textFill>
        </w:rPr>
        <w:sectPr>
          <w:pgSz w:w="11900" w:h="16840"/>
          <w:pgMar w:top="27" w:right="24" w:bottom="0" w:left="24" w:header="0" w:footer="0" w:gutter="0"/>
          <w:cols w:space="720" w:num="1"/>
        </w:sectPr>
      </w:pPr>
    </w:p>
    <w:p>
      <w:pPr>
        <w:pageBreakBefore w:val="0"/>
        <w:widowControl/>
        <w:kinsoku w:val="0"/>
        <w:wordWrap/>
        <w:overflowPunct/>
        <w:topLinePunct w:val="0"/>
        <w:autoSpaceDE w:val="0"/>
        <w:autoSpaceDN w:val="0"/>
        <w:bidi w:val="0"/>
        <w:adjustRightInd w:val="0"/>
        <w:snapToGrid w:val="0"/>
        <w:spacing w:before="169" w:line="188" w:lineRule="auto"/>
        <w:jc w:val="center"/>
        <w:rPr>
          <w:rFonts w:ascii="黑体" w:hAnsi="黑体" w:eastAsia="黑体" w:cs="黑体"/>
          <w:color w:val="000000" w:themeColor="text1"/>
          <w:sz w:val="36"/>
          <w:szCs w:val="36"/>
          <w14:textFill>
            <w14:solidFill>
              <w14:schemeClr w14:val="tx1"/>
            </w14:solidFill>
          </w14:textFill>
        </w:rPr>
      </w:pPr>
      <w:r>
        <w:rPr>
          <w:rFonts w:ascii="黑体" w:hAnsi="黑体" w:eastAsia="黑体" w:cs="黑体"/>
          <w:color w:val="000000" w:themeColor="text1"/>
          <w:spacing w:val="-3"/>
          <w:sz w:val="36"/>
          <w:szCs w:val="36"/>
          <w14:textFill>
            <w14:solidFill>
              <w14:schemeClr w14:val="tx1"/>
            </w14:solidFill>
          </w14:textFill>
        </w:rPr>
        <w:t>安徽省</w:t>
      </w:r>
      <w:r>
        <w:rPr>
          <w:rFonts w:ascii="Times New Roman" w:hAnsi="Times New Roman" w:eastAsia="Times New Roman" w:cs="Times New Roman"/>
          <w:color w:val="000000" w:themeColor="text1"/>
          <w:spacing w:val="-3"/>
          <w:sz w:val="36"/>
          <w:szCs w:val="36"/>
          <w14:textFill>
            <w14:solidFill>
              <w14:schemeClr w14:val="tx1"/>
            </w14:solidFill>
          </w14:textFill>
        </w:rPr>
        <w:t>“</w:t>
      </w:r>
      <w:r>
        <w:rPr>
          <w:rFonts w:ascii="黑体" w:hAnsi="黑体" w:eastAsia="黑体" w:cs="黑体"/>
          <w:color w:val="000000" w:themeColor="text1"/>
          <w:spacing w:val="-3"/>
          <w:sz w:val="36"/>
          <w:szCs w:val="36"/>
          <w14:textFill>
            <w14:solidFill>
              <w14:schemeClr w14:val="tx1"/>
            </w14:solidFill>
          </w14:textFill>
        </w:rPr>
        <w:t>十四五</w:t>
      </w:r>
      <w:r>
        <w:rPr>
          <w:rFonts w:ascii="Times New Roman" w:hAnsi="Times New Roman" w:eastAsia="Times New Roman" w:cs="Times New Roman"/>
          <w:color w:val="000000" w:themeColor="text1"/>
          <w:spacing w:val="-3"/>
          <w:sz w:val="36"/>
          <w:szCs w:val="36"/>
          <w14:textFill>
            <w14:solidFill>
              <w14:schemeClr w14:val="tx1"/>
            </w14:solidFill>
          </w14:textFill>
        </w:rPr>
        <w:t>”</w:t>
      </w:r>
      <w:r>
        <w:rPr>
          <w:rFonts w:ascii="黑体" w:hAnsi="黑体" w:eastAsia="黑体" w:cs="黑体"/>
          <w:color w:val="000000" w:themeColor="text1"/>
          <w:spacing w:val="-3"/>
          <w:sz w:val="36"/>
          <w:szCs w:val="36"/>
          <w14:textFill>
            <w14:solidFill>
              <w14:schemeClr w14:val="tx1"/>
            </w14:solidFill>
          </w14:textFill>
        </w:rPr>
        <w:t>生态环境保护规划</w:t>
      </w:r>
    </w:p>
    <w:p>
      <w:pPr>
        <w:pageBreakBefore w:val="0"/>
        <w:widowControl/>
        <w:kinsoku w:val="0"/>
        <w:wordWrap/>
        <w:overflowPunct/>
        <w:topLinePunct w:val="0"/>
        <w:autoSpaceDE w:val="0"/>
        <w:autoSpaceDN w:val="0"/>
        <w:bidi w:val="0"/>
        <w:adjustRightInd w:val="0"/>
        <w:snapToGrid w:val="0"/>
        <w:rPr>
          <w:color w:val="000000" w:themeColor="text1"/>
          <w:sz w:val="28"/>
          <w:szCs w:val="28"/>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jc w:val="center"/>
        <w:rPr>
          <w:rFonts w:hint="eastAsia" w:eastAsia="宋体"/>
          <w:b/>
          <w:bCs/>
          <w:color w:val="000000" w:themeColor="text1"/>
          <w:sz w:val="36"/>
          <w:szCs w:val="36"/>
          <w:lang w:val="en-US" w:eastAsia="zh-CN"/>
          <w14:textFill>
            <w14:solidFill>
              <w14:schemeClr w14:val="tx1"/>
            </w14:solidFill>
          </w14:textFill>
        </w:rPr>
      </w:pPr>
      <w:r>
        <w:rPr>
          <w:rFonts w:hint="eastAsia" w:eastAsia="宋体"/>
          <w:b/>
          <w:bCs/>
          <w:color w:val="000000" w:themeColor="text1"/>
          <w:sz w:val="36"/>
          <w:szCs w:val="36"/>
          <w:lang w:val="en-US" w:eastAsia="zh-CN"/>
          <w14:textFill>
            <w14:solidFill>
              <w14:schemeClr w14:val="tx1"/>
            </w14:solidFill>
          </w14:textFill>
        </w:rPr>
        <w:t>目 录</w:t>
      </w:r>
    </w:p>
    <w:p>
      <w:pPr>
        <w:bidi w:val="0"/>
        <w:rPr>
          <w:rFonts w:hint="eastAsia"/>
          <w:color w:val="000000" w:themeColor="text1"/>
          <w:lang w:val="en-US" w:eastAsia="zh-CN"/>
          <w14:textFill>
            <w14:solidFill>
              <w14:schemeClr w14:val="tx1"/>
            </w14:solidFill>
          </w14:textFill>
        </w:rPr>
      </w:pPr>
    </w:p>
    <w:p>
      <w:pPr>
        <w:pStyle w:val="4"/>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TOC \o "1-2" \h \u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_Toc31690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一、生态文明建设取得历史性成就</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_Toc31690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_Toc30060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（一）主要成效</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_Toc30060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_Toc1896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（二）存在的问题</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_Toc1896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_Toc13054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（三）面临的机遇与挑战</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_Toc13054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4"/>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_Toc12557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二、总体要求</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_Toc12557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_Toc1055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（一）指导思想</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_Toc1055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_Toc29721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（二）基本原则</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_Toc29721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_Toc13768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（三）规划目标</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_Toc13768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11</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4"/>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_Toc5210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三、全面推动绿色转型发展</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_Toc5210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14</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_Toc17529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（一）加快产业结构转型升级</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_Toc17529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14</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_Toc27783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（二）推动能源结构优化</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_Toc27783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bookmarkStart w:id="38" w:name="_GoBack"/>
      <w:bookmarkEnd w:id="38"/>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_Toc14150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（三）构建绿色交通运输体系</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_Toc14150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16</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_Toc2499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（四）壮大新能源和节能环保产业</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_Toc2499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16</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_Toc18388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（五）践行绿色低碳生产生活方式</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_Toc18388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17</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4"/>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_Toc17399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snapToGrid w:val="0"/>
          <w:color w:val="000000" w:themeColor="text1"/>
          <w:kern w:val="44"/>
          <w:sz w:val="28"/>
          <w:szCs w:val="28"/>
          <w14:textFill>
            <w14:solidFill>
              <w14:schemeClr w14:val="tx1"/>
            </w14:solidFill>
          </w14:textFill>
        </w:rPr>
        <w:t>四、切实推进生态环境持续改善</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_Toc17399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17</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_Toc26558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（一）纵深推进长江经济带生态修复和环境治理</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_Toc26558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17</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_Toc16966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（二）推动减污降碳协同增效</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_Toc16966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18</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_Toc30150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（三）深入打好蓝天碧水净土保卫战</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_Toc30150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19</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_Toc5104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（四）加强农业农村生态环境保护</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_Toc5104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26</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_Toc18855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（五）筑牢生态安全屏障</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_Toc18855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28</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_Toc2383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（六）严防生态环境风险</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_Toc2383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29</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4"/>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_Toc13210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五、协同实施区域共保联治</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_Toc13210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32</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_Toc5603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（一）共保区域生态系统</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_Toc5603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33</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_Toc13500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（二）共治跨界环境污染</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_Toc13500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33</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_Toc2943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pacing w:val="-4"/>
          <w:sz w:val="28"/>
          <w:szCs w:val="28"/>
          <w14:textFill>
            <w14:solidFill>
              <w14:schemeClr w14:val="tx1"/>
            </w14:solidFill>
          </w14:textFill>
        </w:rPr>
        <w:t>（</w:t>
      </w:r>
      <w:r>
        <w:rPr>
          <w:rFonts w:hint="eastAsia" w:ascii="宋体" w:hAnsi="宋体" w:eastAsia="宋体" w:cs="宋体"/>
          <w:color w:val="000000" w:themeColor="text1"/>
          <w:spacing w:val="-87"/>
          <w:sz w:val="28"/>
          <w:szCs w:val="28"/>
          <w14:textFill>
            <w14:solidFill>
              <w14:schemeClr w14:val="tx1"/>
            </w14:solidFill>
          </w14:textFill>
        </w:rPr>
        <w:t xml:space="preserve"> </w:t>
      </w:r>
      <w:r>
        <w:rPr>
          <w:rFonts w:hint="eastAsia" w:ascii="宋体" w:hAnsi="宋体" w:eastAsia="宋体" w:cs="宋体"/>
          <w:color w:val="000000" w:themeColor="text1"/>
          <w:spacing w:val="-4"/>
          <w:sz w:val="28"/>
          <w:szCs w:val="28"/>
          <w14:textFill>
            <w14:solidFill>
              <w14:schemeClr w14:val="tx1"/>
            </w14:solidFill>
          </w14:textFill>
        </w:rPr>
        <w:t>三）共建区域生态环境协作机制</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_Toc2943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33</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_Toc8192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pacing w:val="-5"/>
          <w:sz w:val="28"/>
          <w:szCs w:val="28"/>
          <w14:textFill>
            <w14:solidFill>
              <w14:schemeClr w14:val="tx1"/>
            </w14:solidFill>
          </w14:textFill>
        </w:rPr>
        <w:t>（</w:t>
      </w:r>
      <w:r>
        <w:rPr>
          <w:rFonts w:hint="eastAsia" w:ascii="宋体" w:hAnsi="宋体" w:eastAsia="宋体" w:cs="宋体"/>
          <w:color w:val="000000" w:themeColor="text1"/>
          <w:spacing w:val="-72"/>
          <w:sz w:val="28"/>
          <w:szCs w:val="28"/>
          <w14:textFill>
            <w14:solidFill>
              <w14:schemeClr w14:val="tx1"/>
            </w14:solidFill>
          </w14:textFill>
        </w:rPr>
        <w:t xml:space="preserve"> </w:t>
      </w:r>
      <w:r>
        <w:rPr>
          <w:rFonts w:hint="eastAsia" w:ascii="宋体" w:hAnsi="宋体" w:eastAsia="宋体" w:cs="宋体"/>
          <w:color w:val="000000" w:themeColor="text1"/>
          <w:spacing w:val="-5"/>
          <w:sz w:val="28"/>
          <w:szCs w:val="28"/>
          <w14:textFill>
            <w14:solidFill>
              <w14:schemeClr w14:val="tx1"/>
            </w14:solidFill>
          </w14:textFill>
        </w:rPr>
        <w:t>四）共推毗邻地区生态环境建设</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_Toc8192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34</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4"/>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_Toc16402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pacing w:val="-1"/>
          <w:sz w:val="28"/>
          <w:szCs w:val="28"/>
          <w14:textFill>
            <w14:solidFill>
              <w14:schemeClr w14:val="tx1"/>
            </w14:solidFill>
          </w14:textFill>
        </w:rPr>
        <w:t>六、</w:t>
      </w:r>
      <w:r>
        <w:rPr>
          <w:rFonts w:hint="eastAsia" w:ascii="宋体" w:hAnsi="宋体" w:eastAsia="宋体" w:cs="宋体"/>
          <w:color w:val="000000" w:themeColor="text1"/>
          <w:sz w:val="28"/>
          <w:szCs w:val="28"/>
          <w14:textFill>
            <w14:solidFill>
              <w14:schemeClr w14:val="tx1"/>
            </w14:solidFill>
          </w14:textFill>
        </w:rPr>
        <w:t>加快推进生态环境治理体系与治理能力现代化</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_Toc16402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35</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_Toc3920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pacing w:val="-4"/>
          <w:sz w:val="28"/>
          <w:szCs w:val="28"/>
          <w14:textFill>
            <w14:solidFill>
              <w14:schemeClr w14:val="tx1"/>
            </w14:solidFill>
          </w14:textFill>
        </w:rPr>
        <w:t>（</w:t>
      </w:r>
      <w:r>
        <w:rPr>
          <w:rFonts w:hint="eastAsia" w:ascii="宋体" w:hAnsi="宋体" w:eastAsia="宋体" w:cs="宋体"/>
          <w:color w:val="000000" w:themeColor="text1"/>
          <w:spacing w:val="-87"/>
          <w:sz w:val="28"/>
          <w:szCs w:val="28"/>
          <w14:textFill>
            <w14:solidFill>
              <w14:schemeClr w14:val="tx1"/>
            </w14:solidFill>
          </w14:textFill>
        </w:rPr>
        <w:t xml:space="preserve"> </w:t>
      </w:r>
      <w:r>
        <w:rPr>
          <w:rFonts w:hint="eastAsia" w:ascii="宋体" w:hAnsi="宋体" w:eastAsia="宋体" w:cs="宋体"/>
          <w:color w:val="000000" w:themeColor="text1"/>
          <w:spacing w:val="-4"/>
          <w:sz w:val="28"/>
          <w:szCs w:val="28"/>
          <w14:textFill>
            <w14:solidFill>
              <w14:schemeClr w14:val="tx1"/>
            </w14:solidFill>
          </w14:textFill>
        </w:rPr>
        <w:t>一）严格落实环境治理主体责任</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_Toc3920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35</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_Toc31404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pacing w:val="-4"/>
          <w:sz w:val="28"/>
          <w:szCs w:val="28"/>
          <w14:textFill>
            <w14:solidFill>
              <w14:schemeClr w14:val="tx1"/>
            </w14:solidFill>
          </w14:textFill>
        </w:rPr>
        <w:t>（</w:t>
      </w:r>
      <w:r>
        <w:rPr>
          <w:rFonts w:hint="eastAsia" w:ascii="宋体" w:hAnsi="宋体" w:eastAsia="宋体" w:cs="宋体"/>
          <w:color w:val="000000" w:themeColor="text1"/>
          <w:spacing w:val="-79"/>
          <w:sz w:val="28"/>
          <w:szCs w:val="28"/>
          <w14:textFill>
            <w14:solidFill>
              <w14:schemeClr w14:val="tx1"/>
            </w14:solidFill>
          </w14:textFill>
        </w:rPr>
        <w:t xml:space="preserve"> </w:t>
      </w:r>
      <w:r>
        <w:rPr>
          <w:rFonts w:hint="eastAsia" w:ascii="宋体" w:hAnsi="宋体" w:eastAsia="宋体" w:cs="宋体"/>
          <w:color w:val="000000" w:themeColor="text1"/>
          <w:spacing w:val="-4"/>
          <w:sz w:val="28"/>
          <w:szCs w:val="28"/>
          <w14:textFill>
            <w14:solidFill>
              <w14:schemeClr w14:val="tx1"/>
            </w14:solidFill>
          </w14:textFill>
        </w:rPr>
        <w:t>二）推动完善环境治理法规政策体系</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_Toc31404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36</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_Toc14083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pacing w:val="-4"/>
          <w:sz w:val="28"/>
          <w:szCs w:val="28"/>
          <w14:textFill>
            <w14:solidFill>
              <w14:schemeClr w14:val="tx1"/>
            </w14:solidFill>
          </w14:textFill>
        </w:rPr>
        <w:t>（</w:t>
      </w:r>
      <w:r>
        <w:rPr>
          <w:rFonts w:hint="eastAsia" w:ascii="宋体" w:hAnsi="宋体" w:eastAsia="宋体" w:cs="宋体"/>
          <w:color w:val="000000" w:themeColor="text1"/>
          <w:spacing w:val="-79"/>
          <w:sz w:val="28"/>
          <w:szCs w:val="28"/>
          <w14:textFill>
            <w14:solidFill>
              <w14:schemeClr w14:val="tx1"/>
            </w14:solidFill>
          </w14:textFill>
        </w:rPr>
        <w:t xml:space="preserve"> </w:t>
      </w:r>
      <w:r>
        <w:rPr>
          <w:rFonts w:hint="eastAsia" w:ascii="宋体" w:hAnsi="宋体" w:eastAsia="宋体" w:cs="宋体"/>
          <w:color w:val="000000" w:themeColor="text1"/>
          <w:spacing w:val="-4"/>
          <w:sz w:val="28"/>
          <w:szCs w:val="28"/>
          <w14:textFill>
            <w14:solidFill>
              <w14:schemeClr w14:val="tx1"/>
            </w14:solidFill>
          </w14:textFill>
        </w:rPr>
        <w:t>三）全面增强生态环境监管监测能力</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_Toc14083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36</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_Toc10666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pacing w:val="-4"/>
          <w:sz w:val="28"/>
          <w:szCs w:val="28"/>
          <w14:textFill>
            <w14:solidFill>
              <w14:schemeClr w14:val="tx1"/>
            </w14:solidFill>
          </w14:textFill>
        </w:rPr>
        <w:t>（</w:t>
      </w:r>
      <w:r>
        <w:rPr>
          <w:rFonts w:hint="eastAsia" w:ascii="宋体" w:hAnsi="宋体" w:eastAsia="宋体" w:cs="宋体"/>
          <w:color w:val="000000" w:themeColor="text1"/>
          <w:spacing w:val="-83"/>
          <w:sz w:val="28"/>
          <w:szCs w:val="28"/>
          <w14:textFill>
            <w14:solidFill>
              <w14:schemeClr w14:val="tx1"/>
            </w14:solidFill>
          </w14:textFill>
        </w:rPr>
        <w:t xml:space="preserve"> </w:t>
      </w:r>
      <w:r>
        <w:rPr>
          <w:rFonts w:hint="eastAsia" w:ascii="宋体" w:hAnsi="宋体" w:eastAsia="宋体" w:cs="宋体"/>
          <w:color w:val="000000" w:themeColor="text1"/>
          <w:spacing w:val="-4"/>
          <w:sz w:val="28"/>
          <w:szCs w:val="28"/>
          <w14:textFill>
            <w14:solidFill>
              <w14:schemeClr w14:val="tx1"/>
            </w14:solidFill>
          </w14:textFill>
        </w:rPr>
        <w:t>四）有效提升智慧环保信息化水平</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_Toc10666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38</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_Toc12769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pacing w:val="-4"/>
          <w:sz w:val="28"/>
          <w:szCs w:val="28"/>
          <w14:textFill>
            <w14:solidFill>
              <w14:schemeClr w14:val="tx1"/>
            </w14:solidFill>
          </w14:textFill>
        </w:rPr>
        <w:t>（</w:t>
      </w:r>
      <w:r>
        <w:rPr>
          <w:rFonts w:hint="eastAsia" w:ascii="宋体" w:hAnsi="宋体" w:eastAsia="宋体" w:cs="宋体"/>
          <w:color w:val="000000" w:themeColor="text1"/>
          <w:spacing w:val="-87"/>
          <w:sz w:val="28"/>
          <w:szCs w:val="28"/>
          <w14:textFill>
            <w14:solidFill>
              <w14:schemeClr w14:val="tx1"/>
            </w14:solidFill>
          </w14:textFill>
        </w:rPr>
        <w:t xml:space="preserve"> </w:t>
      </w:r>
      <w:r>
        <w:rPr>
          <w:rFonts w:hint="eastAsia" w:ascii="宋体" w:hAnsi="宋体" w:eastAsia="宋体" w:cs="宋体"/>
          <w:color w:val="000000" w:themeColor="text1"/>
          <w:spacing w:val="-4"/>
          <w:sz w:val="28"/>
          <w:szCs w:val="28"/>
          <w14:textFill>
            <w14:solidFill>
              <w14:schemeClr w14:val="tx1"/>
            </w14:solidFill>
          </w14:textFill>
        </w:rPr>
        <w:t>五）充分发挥市场机制激励作用</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_Toc12769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38</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4"/>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_Toc13097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pacing w:val="-3"/>
          <w:sz w:val="28"/>
          <w:szCs w:val="28"/>
          <w14:textFill>
            <w14:solidFill>
              <w14:schemeClr w14:val="tx1"/>
            </w14:solidFill>
          </w14:textFill>
        </w:rPr>
        <w:t>七、保障措施</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_Toc13097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40</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_Toc29244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pacing w:val="-7"/>
          <w:sz w:val="28"/>
          <w:szCs w:val="28"/>
          <w14:textFill>
            <w14:solidFill>
              <w14:schemeClr w14:val="tx1"/>
            </w14:solidFill>
          </w14:textFill>
        </w:rPr>
        <w:t>（</w:t>
      </w:r>
      <w:r>
        <w:rPr>
          <w:rFonts w:hint="eastAsia" w:ascii="宋体" w:hAnsi="宋体" w:eastAsia="宋体" w:cs="宋体"/>
          <w:color w:val="000000" w:themeColor="text1"/>
          <w:spacing w:val="-84"/>
          <w:sz w:val="28"/>
          <w:szCs w:val="28"/>
          <w14:textFill>
            <w14:solidFill>
              <w14:schemeClr w14:val="tx1"/>
            </w14:solidFill>
          </w14:textFill>
        </w:rPr>
        <w:t xml:space="preserve"> </w:t>
      </w:r>
      <w:r>
        <w:rPr>
          <w:rFonts w:hint="eastAsia" w:ascii="宋体" w:hAnsi="宋体" w:eastAsia="宋体" w:cs="宋体"/>
          <w:color w:val="000000" w:themeColor="text1"/>
          <w:spacing w:val="-7"/>
          <w:sz w:val="28"/>
          <w:szCs w:val="28"/>
          <w14:textFill>
            <w14:solidFill>
              <w14:schemeClr w14:val="tx1"/>
            </w14:solidFill>
          </w14:textFill>
        </w:rPr>
        <w:t>一）落实主体责任</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_Toc29244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40</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_Toc31282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pacing w:val="-6"/>
          <w:sz w:val="28"/>
          <w:szCs w:val="28"/>
          <w14:textFill>
            <w14:solidFill>
              <w14:schemeClr w14:val="tx1"/>
            </w14:solidFill>
          </w14:textFill>
        </w:rPr>
        <w:t>（</w:t>
      </w:r>
      <w:r>
        <w:rPr>
          <w:rFonts w:hint="eastAsia" w:ascii="宋体" w:hAnsi="宋体" w:eastAsia="宋体" w:cs="宋体"/>
          <w:color w:val="000000" w:themeColor="text1"/>
          <w:spacing w:val="-93"/>
          <w:sz w:val="28"/>
          <w:szCs w:val="28"/>
          <w14:textFill>
            <w14:solidFill>
              <w14:schemeClr w14:val="tx1"/>
            </w14:solidFill>
          </w14:textFill>
        </w:rPr>
        <w:t xml:space="preserve"> </w:t>
      </w:r>
      <w:r>
        <w:rPr>
          <w:rFonts w:hint="eastAsia" w:ascii="宋体" w:hAnsi="宋体" w:eastAsia="宋体" w:cs="宋体"/>
          <w:color w:val="000000" w:themeColor="text1"/>
          <w:spacing w:val="-6"/>
          <w:sz w:val="28"/>
          <w:szCs w:val="28"/>
          <w14:textFill>
            <w14:solidFill>
              <w14:schemeClr w14:val="tx1"/>
            </w14:solidFill>
          </w14:textFill>
        </w:rPr>
        <w:t>二）加大投入力度</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_Toc31282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41</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_Toc10479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pacing w:val="-17"/>
          <w:sz w:val="28"/>
          <w:szCs w:val="28"/>
          <w14:textFill>
            <w14:solidFill>
              <w14:schemeClr w14:val="tx1"/>
            </w14:solidFill>
          </w14:textFill>
        </w:rPr>
        <w:t>（</w:t>
      </w:r>
      <w:r>
        <w:rPr>
          <w:rFonts w:hint="eastAsia" w:ascii="宋体" w:hAnsi="宋体" w:eastAsia="宋体" w:cs="宋体"/>
          <w:color w:val="000000" w:themeColor="text1"/>
          <w:spacing w:val="-83"/>
          <w:sz w:val="28"/>
          <w:szCs w:val="28"/>
          <w14:textFill>
            <w14:solidFill>
              <w14:schemeClr w14:val="tx1"/>
            </w14:solidFill>
          </w14:textFill>
        </w:rPr>
        <w:t xml:space="preserve"> </w:t>
      </w:r>
      <w:r>
        <w:rPr>
          <w:rFonts w:hint="eastAsia" w:ascii="宋体" w:hAnsi="宋体" w:eastAsia="宋体" w:cs="宋体"/>
          <w:color w:val="000000" w:themeColor="text1"/>
          <w:spacing w:val="-17"/>
          <w:sz w:val="28"/>
          <w:szCs w:val="28"/>
          <w14:textFill>
            <w14:solidFill>
              <w14:schemeClr w14:val="tx1"/>
            </w14:solidFill>
          </w14:textFill>
        </w:rPr>
        <w:t>三</w:t>
      </w:r>
      <w:r>
        <w:rPr>
          <w:rFonts w:hint="eastAsia" w:ascii="宋体" w:hAnsi="宋体" w:eastAsia="宋体" w:cs="宋体"/>
          <w:color w:val="000000" w:themeColor="text1"/>
          <w:spacing w:val="-71"/>
          <w:sz w:val="28"/>
          <w:szCs w:val="28"/>
          <w14:textFill>
            <w14:solidFill>
              <w14:schemeClr w14:val="tx1"/>
            </w14:solidFill>
          </w14:textFill>
        </w:rPr>
        <w:t xml:space="preserve"> </w:t>
      </w:r>
      <w:r>
        <w:rPr>
          <w:rFonts w:hint="eastAsia" w:ascii="宋体" w:hAnsi="宋体" w:eastAsia="宋体" w:cs="宋体"/>
          <w:color w:val="000000" w:themeColor="text1"/>
          <w:spacing w:val="-17"/>
          <w:sz w:val="28"/>
          <w:szCs w:val="28"/>
          <w14:textFill>
            <w14:solidFill>
              <w14:schemeClr w14:val="tx1"/>
            </w14:solidFill>
          </w14:textFill>
        </w:rPr>
        <w:t>）实施重大工程</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_Toc10479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41</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_Toc17991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pacing w:val="-7"/>
          <w:sz w:val="28"/>
          <w:szCs w:val="28"/>
          <w14:textFill>
            <w14:solidFill>
              <w14:schemeClr w14:val="tx1"/>
            </w14:solidFill>
          </w14:textFill>
        </w:rPr>
        <w:t>（</w:t>
      </w:r>
      <w:r>
        <w:rPr>
          <w:rFonts w:hint="eastAsia" w:ascii="宋体" w:hAnsi="宋体" w:eastAsia="宋体" w:cs="宋体"/>
          <w:color w:val="000000" w:themeColor="text1"/>
          <w:spacing w:val="-84"/>
          <w:sz w:val="28"/>
          <w:szCs w:val="28"/>
          <w14:textFill>
            <w14:solidFill>
              <w14:schemeClr w14:val="tx1"/>
            </w14:solidFill>
          </w14:textFill>
        </w:rPr>
        <w:t xml:space="preserve"> </w:t>
      </w:r>
      <w:r>
        <w:rPr>
          <w:rFonts w:hint="eastAsia" w:ascii="宋体" w:hAnsi="宋体" w:eastAsia="宋体" w:cs="宋体"/>
          <w:color w:val="000000" w:themeColor="text1"/>
          <w:spacing w:val="-7"/>
          <w:sz w:val="28"/>
          <w:szCs w:val="28"/>
          <w14:textFill>
            <w14:solidFill>
              <w14:schemeClr w14:val="tx1"/>
            </w14:solidFill>
          </w14:textFill>
        </w:rPr>
        <w:t>四）加强人才建设</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_Toc17991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41</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_Toc14661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pacing w:val="-7"/>
          <w:sz w:val="28"/>
          <w:szCs w:val="28"/>
          <w14:textFill>
            <w14:solidFill>
              <w14:schemeClr w14:val="tx1"/>
            </w14:solidFill>
          </w14:textFill>
        </w:rPr>
        <w:t>（</w:t>
      </w:r>
      <w:r>
        <w:rPr>
          <w:rFonts w:hint="eastAsia" w:ascii="宋体" w:hAnsi="宋体" w:eastAsia="宋体" w:cs="宋体"/>
          <w:color w:val="000000" w:themeColor="text1"/>
          <w:spacing w:val="-84"/>
          <w:sz w:val="28"/>
          <w:szCs w:val="28"/>
          <w14:textFill>
            <w14:solidFill>
              <w14:schemeClr w14:val="tx1"/>
            </w14:solidFill>
          </w14:textFill>
        </w:rPr>
        <w:t xml:space="preserve"> </w:t>
      </w:r>
      <w:r>
        <w:rPr>
          <w:rFonts w:hint="eastAsia" w:ascii="宋体" w:hAnsi="宋体" w:eastAsia="宋体" w:cs="宋体"/>
          <w:color w:val="000000" w:themeColor="text1"/>
          <w:spacing w:val="-7"/>
          <w:sz w:val="28"/>
          <w:szCs w:val="28"/>
          <w14:textFill>
            <w14:solidFill>
              <w14:schemeClr w14:val="tx1"/>
            </w14:solidFill>
          </w14:textFill>
        </w:rPr>
        <w:t>五）强化跟踪评估</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_Toc14661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41</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themeColor="text1"/>
          <w:sz w:val="28"/>
          <w:szCs w:val="28"/>
          <w14:textFill>
            <w14:solidFill>
              <w14:schemeClr w14:val="tx1"/>
            </w14:solidFill>
          </w14:textFill>
        </w:rPr>
        <w:sectPr>
          <w:pgSz w:w="11906" w:h="16839"/>
          <w:pgMar w:top="1431" w:right="1785" w:bottom="0" w:left="1785" w:header="0" w:footer="0" w:gutter="0"/>
          <w:cols w:space="720" w:num="1"/>
        </w:sectPr>
      </w:pPr>
      <w:r>
        <w:rPr>
          <w:rFonts w:hint="eastAsia" w:ascii="宋体" w:hAnsi="宋体" w:eastAsia="宋体" w:cs="宋体"/>
          <w:color w:val="000000" w:themeColor="text1"/>
          <w:sz w:val="28"/>
          <w:szCs w:val="28"/>
          <w14:textFill>
            <w14:solidFill>
              <w14:schemeClr w14:val="tx1"/>
            </w14:solidFill>
          </w14:textFill>
        </w:rPr>
        <w:fldChar w:fldCharType="end"/>
      </w:r>
    </w:p>
    <w:p>
      <w:pPr>
        <w:pageBreakBefore w:val="0"/>
        <w:widowControl/>
        <w:kinsoku w:val="0"/>
        <w:wordWrap/>
        <w:overflowPunct/>
        <w:topLinePunct w:val="0"/>
        <w:autoSpaceDE w:val="0"/>
        <w:autoSpaceDN w:val="0"/>
        <w:bidi w:val="0"/>
        <w:adjustRightInd w:val="0"/>
        <w:snapToGrid w:val="0"/>
        <w:spacing w:line="302" w:lineRule="auto"/>
        <w:rPr>
          <w:rFonts w:ascii="Times New Roman"/>
          <w:color w:val="000000" w:themeColor="text1"/>
          <w:sz w:val="28"/>
          <w:szCs w:val="28"/>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pacing w:val="3"/>
          <w:sz w:val="28"/>
          <w:szCs w:val="28"/>
          <w14:textFill>
            <w14:solidFill>
              <w14:schemeClr w14:val="tx1"/>
            </w14:solidFill>
          </w14:textFill>
        </w:rPr>
        <w:t>“十四五”时期是开启全面建设社会主义现代化国家新征</w:t>
      </w:r>
      <w:r>
        <w:rPr>
          <w:rFonts w:hint="eastAsia" w:ascii="宋体" w:hAnsi="宋体" w:eastAsia="宋体" w:cs="宋体"/>
          <w:b w:val="0"/>
          <w:bCs w:val="0"/>
          <w:color w:val="000000" w:themeColor="text1"/>
          <w:spacing w:val="6"/>
          <w:sz w:val="28"/>
          <w:szCs w:val="28"/>
          <w14:textFill>
            <w14:solidFill>
              <w14:schemeClr w14:val="tx1"/>
            </w14:solidFill>
          </w14:textFill>
        </w:rPr>
        <w:t xml:space="preserve"> </w:t>
      </w:r>
      <w:r>
        <w:rPr>
          <w:rFonts w:hint="eastAsia" w:ascii="宋体" w:hAnsi="宋体" w:eastAsia="宋体" w:cs="宋体"/>
          <w:b w:val="0"/>
          <w:bCs w:val="0"/>
          <w:color w:val="000000" w:themeColor="text1"/>
          <w:spacing w:val="-2"/>
          <w:sz w:val="28"/>
          <w:szCs w:val="28"/>
          <w14:textFill>
            <w14:solidFill>
              <w14:schemeClr w14:val="tx1"/>
            </w14:solidFill>
          </w14:textFill>
        </w:rPr>
        <w:t>程、向第二个百年奋斗目标进军的新起点，也是全面贯彻落</w:t>
      </w:r>
      <w:r>
        <w:rPr>
          <w:rFonts w:hint="eastAsia" w:ascii="宋体" w:hAnsi="宋体" w:eastAsia="宋体" w:cs="宋体"/>
          <w:b w:val="0"/>
          <w:bCs w:val="0"/>
          <w:color w:val="000000" w:themeColor="text1"/>
          <w:spacing w:val="22"/>
          <w:sz w:val="28"/>
          <w:szCs w:val="28"/>
          <w14:textFill>
            <w14:solidFill>
              <w14:schemeClr w14:val="tx1"/>
            </w14:solidFill>
          </w14:textFill>
        </w:rPr>
        <w:t xml:space="preserve"> </w:t>
      </w:r>
      <w:r>
        <w:rPr>
          <w:rFonts w:hint="eastAsia" w:ascii="宋体" w:hAnsi="宋体" w:eastAsia="宋体" w:cs="宋体"/>
          <w:b w:val="0"/>
          <w:bCs w:val="0"/>
          <w:color w:val="000000" w:themeColor="text1"/>
          <w:spacing w:val="11"/>
          <w:sz w:val="28"/>
          <w:szCs w:val="28"/>
          <w14:textFill>
            <w14:solidFill>
              <w14:schemeClr w14:val="tx1"/>
            </w14:solidFill>
          </w14:textFill>
        </w:rPr>
        <w:t>实习近平总书记对安徽作出的系列重要讲话指示批示和建</w:t>
      </w:r>
      <w:r>
        <w:rPr>
          <w:rFonts w:hint="eastAsia" w:ascii="宋体" w:hAnsi="宋体" w:eastAsia="宋体" w:cs="宋体"/>
          <w:b w:val="0"/>
          <w:bCs w:val="0"/>
          <w:color w:val="000000" w:themeColor="text1"/>
          <w:spacing w:val="17"/>
          <w:sz w:val="28"/>
          <w:szCs w:val="28"/>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设美好安徽的关键时期。为切实做好安徽省“十四五”生态环</w:t>
      </w:r>
      <w:r>
        <w:rPr>
          <w:rFonts w:hint="eastAsia" w:ascii="宋体" w:hAnsi="宋体" w:eastAsia="宋体" w:cs="宋体"/>
          <w:b w:val="0"/>
          <w:bCs w:val="0"/>
          <w:color w:val="000000" w:themeColor="text1"/>
          <w:spacing w:val="6"/>
          <w:sz w:val="28"/>
          <w:szCs w:val="28"/>
          <w14:textFill>
            <w14:solidFill>
              <w14:schemeClr w14:val="tx1"/>
            </w14:solidFill>
          </w14:textFill>
        </w:rPr>
        <w:t xml:space="preserve"> </w:t>
      </w:r>
      <w:r>
        <w:rPr>
          <w:rFonts w:hint="eastAsia" w:ascii="宋体" w:hAnsi="宋体" w:eastAsia="宋体" w:cs="宋体"/>
          <w:b w:val="0"/>
          <w:bCs w:val="0"/>
          <w:color w:val="000000" w:themeColor="text1"/>
          <w:spacing w:val="-2"/>
          <w:sz w:val="28"/>
          <w:szCs w:val="28"/>
          <w14:textFill>
            <w14:solidFill>
              <w14:schemeClr w14:val="tx1"/>
            </w14:solidFill>
          </w14:textFill>
        </w:rPr>
        <w:t>境保护工作，持续改善生态环境质量，以高水平保护推动高</w:t>
      </w:r>
      <w:r>
        <w:rPr>
          <w:rFonts w:hint="eastAsia" w:ascii="宋体" w:hAnsi="宋体" w:eastAsia="宋体" w:cs="宋体"/>
          <w:b w:val="0"/>
          <w:bCs w:val="0"/>
          <w:color w:val="000000" w:themeColor="text1"/>
          <w:spacing w:val="24"/>
          <w:sz w:val="28"/>
          <w:szCs w:val="28"/>
          <w14:textFill>
            <w14:solidFill>
              <w14:schemeClr w14:val="tx1"/>
            </w14:solidFill>
          </w14:textFill>
        </w:rPr>
        <w:t xml:space="preserve"> </w:t>
      </w:r>
      <w:r>
        <w:rPr>
          <w:rFonts w:hint="eastAsia" w:ascii="宋体" w:hAnsi="宋体" w:eastAsia="宋体" w:cs="宋体"/>
          <w:b w:val="0"/>
          <w:bCs w:val="0"/>
          <w:color w:val="000000" w:themeColor="text1"/>
          <w:spacing w:val="-2"/>
          <w:sz w:val="28"/>
          <w:szCs w:val="28"/>
          <w14:textFill>
            <w14:solidFill>
              <w14:schemeClr w14:val="tx1"/>
            </w14:solidFill>
          </w14:textFill>
        </w:rPr>
        <w:t>质量发展，根据《安徽省国民经济和社会发展第十四个五年</w:t>
      </w:r>
      <w:r>
        <w:rPr>
          <w:rFonts w:hint="eastAsia" w:ascii="宋体" w:hAnsi="宋体" w:eastAsia="宋体" w:cs="宋体"/>
          <w:b w:val="0"/>
          <w:bCs w:val="0"/>
          <w:color w:val="000000" w:themeColor="text1"/>
          <w:spacing w:val="24"/>
          <w:sz w:val="28"/>
          <w:szCs w:val="28"/>
          <w14:textFill>
            <w14:solidFill>
              <w14:schemeClr w14:val="tx1"/>
            </w14:solidFill>
          </w14:textFill>
        </w:rPr>
        <w:t xml:space="preserve"> </w:t>
      </w:r>
      <w:r>
        <w:rPr>
          <w:rFonts w:hint="eastAsia" w:ascii="宋体" w:hAnsi="宋体" w:eastAsia="宋体" w:cs="宋体"/>
          <w:b w:val="0"/>
          <w:bCs w:val="0"/>
          <w:color w:val="000000" w:themeColor="text1"/>
          <w:spacing w:val="-8"/>
          <w:sz w:val="28"/>
          <w:szCs w:val="28"/>
          <w14:textFill>
            <w14:solidFill>
              <w14:schemeClr w14:val="tx1"/>
            </w14:solidFill>
          </w14:textFill>
        </w:rPr>
        <w:t>规划和</w:t>
      </w:r>
      <w:r>
        <w:rPr>
          <w:rFonts w:hint="eastAsia" w:ascii="宋体" w:hAnsi="宋体" w:eastAsia="宋体" w:cs="宋体"/>
          <w:b w:val="0"/>
          <w:bCs w:val="0"/>
          <w:color w:val="000000" w:themeColor="text1"/>
          <w:spacing w:val="-65"/>
          <w:sz w:val="28"/>
          <w:szCs w:val="28"/>
          <w14:textFill>
            <w14:solidFill>
              <w14:schemeClr w14:val="tx1"/>
            </w14:solidFill>
          </w14:textFill>
        </w:rPr>
        <w:t xml:space="preserve"> </w:t>
      </w:r>
      <w:r>
        <w:rPr>
          <w:rFonts w:hint="eastAsia" w:ascii="宋体" w:hAnsi="宋体" w:eastAsia="宋体" w:cs="宋体"/>
          <w:b w:val="0"/>
          <w:bCs w:val="0"/>
          <w:color w:val="000000" w:themeColor="text1"/>
          <w:spacing w:val="-8"/>
          <w:sz w:val="28"/>
          <w:szCs w:val="28"/>
          <w14:textFill>
            <w14:solidFill>
              <w14:schemeClr w14:val="tx1"/>
            </w14:solidFill>
          </w14:textFill>
        </w:rPr>
        <w:t>2035</w:t>
      </w:r>
      <w:r>
        <w:rPr>
          <w:rFonts w:hint="eastAsia" w:ascii="宋体" w:hAnsi="宋体" w:eastAsia="宋体" w:cs="宋体"/>
          <w:b w:val="0"/>
          <w:bCs w:val="0"/>
          <w:color w:val="000000" w:themeColor="text1"/>
          <w:spacing w:val="21"/>
          <w:sz w:val="28"/>
          <w:szCs w:val="28"/>
          <w14:textFill>
            <w14:solidFill>
              <w14:schemeClr w14:val="tx1"/>
            </w14:solidFill>
          </w14:textFill>
        </w:rPr>
        <w:t xml:space="preserve"> </w:t>
      </w:r>
      <w:r>
        <w:rPr>
          <w:rFonts w:hint="eastAsia" w:ascii="宋体" w:hAnsi="宋体" w:eastAsia="宋体" w:cs="宋体"/>
          <w:b w:val="0"/>
          <w:bCs w:val="0"/>
          <w:color w:val="000000" w:themeColor="text1"/>
          <w:spacing w:val="-8"/>
          <w:sz w:val="28"/>
          <w:szCs w:val="28"/>
          <w14:textFill>
            <w14:solidFill>
              <w14:schemeClr w14:val="tx1"/>
            </w14:solidFill>
          </w14:textFill>
        </w:rPr>
        <w:t>年远景目标纲要》《长江三角洲区域生态环境共</w:t>
      </w:r>
      <w:r>
        <w:rPr>
          <w:rFonts w:hint="eastAsia" w:ascii="宋体" w:hAnsi="宋体" w:eastAsia="宋体" w:cs="宋体"/>
          <w:b w:val="0"/>
          <w:bCs w:val="0"/>
          <w:color w:val="000000" w:themeColor="text1"/>
          <w:sz w:val="28"/>
          <w:szCs w:val="28"/>
          <w14:textFill>
            <w14:solidFill>
              <w14:schemeClr w14:val="tx1"/>
            </w14:solidFill>
          </w14:textFill>
        </w:rPr>
        <w:t xml:space="preserve"> </w:t>
      </w:r>
      <w:r>
        <w:rPr>
          <w:rFonts w:hint="eastAsia" w:ascii="宋体" w:hAnsi="宋体" w:eastAsia="宋体" w:cs="宋体"/>
          <w:b w:val="0"/>
          <w:bCs w:val="0"/>
          <w:color w:val="000000" w:themeColor="text1"/>
          <w:spacing w:val="-14"/>
          <w:sz w:val="28"/>
          <w:szCs w:val="28"/>
          <w14:textFill>
            <w14:solidFill>
              <w14:schemeClr w14:val="tx1"/>
            </w14:solidFill>
          </w14:textFill>
        </w:rPr>
        <w:t>同保护规划》，制定本规划。</w:t>
      </w:r>
    </w:p>
    <w:p>
      <w:pPr>
        <w:pStyle w:val="2"/>
        <w:keepNext/>
        <w:keepLines/>
        <w:pageBreakBefore w:val="0"/>
        <w:widowControl/>
        <w:kinsoku w:val="0"/>
        <w:wordWrap/>
        <w:overflowPunct/>
        <w:topLinePunct w:val="0"/>
        <w:autoSpaceDE w:val="0"/>
        <w:autoSpaceDN w:val="0"/>
        <w:bidi w:val="0"/>
        <w:adjustRightInd w:val="0"/>
        <w:snapToGrid w:val="0"/>
        <w:spacing w:before="0" w:after="0" w:line="360" w:lineRule="auto"/>
        <w:textAlignment w:val="baseline"/>
        <w:rPr>
          <w:rFonts w:hint="eastAsia" w:ascii="宋体" w:hAnsi="宋体" w:eastAsia="宋体" w:cs="宋体"/>
          <w:color w:val="000000" w:themeColor="text1"/>
          <w:sz w:val="28"/>
          <w:szCs w:val="28"/>
          <w14:textFill>
            <w14:solidFill>
              <w14:schemeClr w14:val="tx1"/>
            </w14:solidFill>
          </w14:textFill>
        </w:rPr>
      </w:pPr>
      <w:bookmarkStart w:id="0" w:name="_Toc31690"/>
      <w:r>
        <w:rPr>
          <w:rFonts w:hint="eastAsia" w:ascii="宋体" w:hAnsi="宋体" w:eastAsia="宋体" w:cs="宋体"/>
          <w:color w:val="000000" w:themeColor="text1"/>
          <w:sz w:val="28"/>
          <w:szCs w:val="28"/>
          <w14:textFill>
            <w14:solidFill>
              <w14:schemeClr w14:val="tx1"/>
            </w14:solidFill>
          </w14:textFill>
        </w:rPr>
        <w:t>一、生态文明建设取得历史性成就</w:t>
      </w:r>
      <w:bookmarkEnd w:id="0"/>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hint="eastAsia" w:ascii="宋体" w:hAnsi="宋体" w:eastAsia="宋体" w:cs="宋体"/>
          <w:b w:val="0"/>
          <w:bCs w:val="0"/>
          <w:color w:val="000000" w:themeColor="text1"/>
          <w:spacing w:val="3"/>
          <w:sz w:val="28"/>
          <w:szCs w:val="28"/>
          <w14:textFill>
            <w14:solidFill>
              <w14:schemeClr w14:val="tx1"/>
            </w14:solidFill>
          </w14:textFill>
        </w:rPr>
      </w:pPr>
      <w:r>
        <w:rPr>
          <w:rFonts w:hint="eastAsia" w:ascii="宋体" w:hAnsi="宋体" w:eastAsia="宋体" w:cs="宋体"/>
          <w:b w:val="0"/>
          <w:bCs w:val="0"/>
          <w:color w:val="000000" w:themeColor="text1"/>
          <w:spacing w:val="3"/>
          <w:sz w:val="28"/>
          <w:szCs w:val="28"/>
          <w14:textFill>
            <w14:solidFill>
              <w14:schemeClr w14:val="tx1"/>
            </w14:solidFill>
          </w14:textFill>
        </w:rPr>
        <w:t>“十三五”时期，在习近平生态文明思想的科学指引下， 我省对保护与发展关系的认识更加深刻，“人与自然是生命共 同体”“绿水青山就是金山银山”等生态文明思想落地见效、深 入人心。全省上下形成推进生态文明建设、加强生态环境保 护浓厚氛围，经济高质量发展稳步推进，资源能源利用效率 持续提升，保护生态环境的法治意识、主体意识正在形成。 生态产业、生态文化、绿色消费快速发展，全社会关注环保、</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hint="eastAsia" w:ascii="宋体" w:hAnsi="宋体" w:eastAsia="宋体" w:cs="宋体"/>
          <w:b w:val="0"/>
          <w:bCs w:val="0"/>
          <w:color w:val="000000" w:themeColor="text1"/>
          <w:spacing w:val="3"/>
          <w:sz w:val="28"/>
          <w:szCs w:val="28"/>
          <w14:textFill>
            <w14:solidFill>
              <w14:schemeClr w14:val="tx1"/>
            </w14:solidFill>
          </w14:textFill>
        </w:rPr>
      </w:pPr>
      <w:r>
        <w:rPr>
          <w:rFonts w:hint="eastAsia" w:ascii="宋体" w:hAnsi="宋体" w:eastAsia="宋体" w:cs="宋体"/>
          <w:b w:val="0"/>
          <w:bCs w:val="0"/>
          <w:color w:val="000000" w:themeColor="text1"/>
          <w:spacing w:val="3"/>
          <w:sz w:val="28"/>
          <w:szCs w:val="28"/>
          <w14:textFill>
            <w14:solidFill>
              <w14:schemeClr w14:val="tx1"/>
            </w14:solidFill>
          </w14:textFill>
        </w:rPr>
        <w:t>参与环保、贡献环保的行动更加自觉，节约资源和保护环境 日益成为社会主流风尚。</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color w:val="000000" w:themeColor="text1"/>
          <w:sz w:val="28"/>
          <w:szCs w:val="28"/>
          <w14:textFill>
            <w14:solidFill>
              <w14:schemeClr w14:val="tx1"/>
            </w14:solidFill>
          </w14:textFill>
        </w:rPr>
      </w:pPr>
      <w:bookmarkStart w:id="1" w:name="_Toc30060"/>
      <w:r>
        <w:rPr>
          <w:color w:val="000000" w:themeColor="text1"/>
          <w:sz w:val="28"/>
          <w:szCs w:val="28"/>
          <w14:textFill>
            <w14:solidFill>
              <w14:schemeClr w14:val="tx1"/>
            </w14:solidFill>
          </w14:textFill>
        </w:rPr>
        <w:t>（ 一）主要成效</w:t>
      </w:r>
      <w:bookmarkEnd w:id="1"/>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hint="eastAsia" w:ascii="宋体" w:hAnsi="宋体" w:eastAsia="宋体" w:cs="宋体"/>
          <w:b w:val="0"/>
          <w:bCs w:val="0"/>
          <w:color w:val="000000" w:themeColor="text1"/>
          <w:spacing w:val="3"/>
          <w:sz w:val="28"/>
          <w:szCs w:val="28"/>
          <w14:textFill>
            <w14:solidFill>
              <w14:schemeClr w14:val="tx1"/>
            </w14:solidFill>
          </w14:textFill>
        </w:rPr>
      </w:pPr>
      <w:r>
        <w:rPr>
          <w:rFonts w:hint="eastAsia" w:ascii="宋体" w:hAnsi="宋体" w:eastAsia="宋体" w:cs="宋体"/>
          <w:b w:val="0"/>
          <w:bCs w:val="0"/>
          <w:color w:val="000000" w:themeColor="text1"/>
          <w:spacing w:val="3"/>
          <w:sz w:val="28"/>
          <w:szCs w:val="28"/>
          <w:lang w:val="en-US" w:eastAsia="zh-CN"/>
          <w14:textFill>
            <w14:solidFill>
              <w14:schemeClr w14:val="tx1"/>
            </w14:solidFill>
          </w14:textFill>
        </w:rPr>
        <w:t>1.</w:t>
      </w:r>
      <w:r>
        <w:rPr>
          <w:rFonts w:hint="eastAsia" w:ascii="宋体" w:hAnsi="宋体" w:eastAsia="宋体" w:cs="宋体"/>
          <w:b w:val="0"/>
          <w:bCs w:val="0"/>
          <w:color w:val="000000" w:themeColor="text1"/>
          <w:spacing w:val="3"/>
          <w:sz w:val="28"/>
          <w:szCs w:val="28"/>
          <w14:textFill>
            <w14:solidFill>
              <w14:schemeClr w14:val="tx1"/>
            </w14:solidFill>
          </w14:textFill>
        </w:rPr>
        <w:t>“十三五”生态环境保护目标顺利完成。“十三五”末， 全省细颗粒物（ PM2.5 ）年均浓度 39 微克/立方米 ，比 2015 年下降 25%；空气质量优良天数比率 82.9%，比 2015 年提高 5 个百分点； 地表水国家考核断面优良比例 87.7% ，好于目标要求 13.2 个百分点； 设区市集中式饮用水水源达标率 95%，扣除地质背景因素达标率 100%；受污染耕地安全利用 率达 94% ，污染地块安全利用率 100%；主要污染物排放总 量持续减少，化学需氧量、氨氮、二氧化硫、氮氧化物污染 物排放量比 2015 年分别下降 11.75%、16.38%、17.9%、16.4%； 单位国内生产总值二氧化碳排放累计降低 22.07%，辐射环境 质量稳定处于正常水平，未发生各类辐射事故和放射性污染 事故； 森林覆盖率30.22%，森林蓄积量 2.7 亿立方米，湿地 保护率达51%，全省生态系统结构和格局基本稳定，生态安 全屏障更加牢固。公众生态环境满意率达到 90.1% ，为历年最高。</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hint="eastAsia" w:ascii="宋体" w:hAnsi="宋体" w:eastAsia="宋体" w:cs="宋体"/>
          <w:b w:val="0"/>
          <w:bCs w:val="0"/>
          <w:color w:val="000000" w:themeColor="text1"/>
          <w:spacing w:val="3"/>
          <w:sz w:val="28"/>
          <w:szCs w:val="28"/>
          <w14:textFill>
            <w14:solidFill>
              <w14:schemeClr w14:val="tx1"/>
            </w14:solidFill>
          </w14:textFill>
        </w:rPr>
      </w:pPr>
      <w:r>
        <w:rPr>
          <w:rFonts w:hint="eastAsia" w:ascii="宋体" w:hAnsi="宋体" w:eastAsia="宋体" w:cs="宋体"/>
          <w:b w:val="0"/>
          <w:bCs w:val="0"/>
          <w:color w:val="000000" w:themeColor="text1"/>
          <w:spacing w:val="3"/>
          <w:sz w:val="28"/>
          <w:szCs w:val="28"/>
          <w:lang w:val="en-US" w:eastAsia="zh-CN"/>
          <w14:textFill>
            <w14:solidFill>
              <w14:schemeClr w14:val="tx1"/>
            </w14:solidFill>
          </w14:textFill>
        </w:rPr>
        <w:t>2.</w:t>
      </w:r>
      <w:r>
        <w:rPr>
          <w:rFonts w:hint="eastAsia" w:ascii="宋体" w:hAnsi="宋体" w:eastAsia="宋体" w:cs="宋体"/>
          <w:b w:val="0"/>
          <w:bCs w:val="0"/>
          <w:color w:val="000000" w:themeColor="text1"/>
          <w:spacing w:val="3"/>
          <w:sz w:val="28"/>
          <w:szCs w:val="28"/>
          <w14:textFill>
            <w14:solidFill>
              <w14:schemeClr w14:val="tx1"/>
            </w14:solidFill>
          </w14:textFill>
        </w:rPr>
        <w:t>长江大保护取得重大进展。组织开展长江安徽段生 态环境大保护大治理大修复强化生态优先绿色发展理念落 实专项攻坚行动。实施长江经济带生态环境新一轮提升工程，严格落实“1515”岸线分级管控措施，深化“禁新建、减存量、关污源、进园区、建新绿、纳统管、强机制”7 项举措，深入推进生态环境污染治理“4+1”工程。以长江经济带生态环 境警示片披露问题为重点，开展各类关联性、衍生性问题及 环境风险隐患排查整治 ，打好突出生态环境问题整改歼灭战。“十三五”末，突出生态环境问题整改率达 96.2% ，形成了马鞍山市薛家洼生态园等一批“生态乐园”。切实推进长江入河排污口排查整治和在线监控，97 个工业企业排污 口安装自动监控设备，并在相关水系设置 97 个监测断面，基本实现长江干流入河排污 口水质监测监控。全面实施长江禁捕退 捕，增殖放流水生生物 24247 万尾。“十三五”末，长江水质优良比例 90% ，好于目标6.7个百分点。</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hint="eastAsia" w:ascii="宋体" w:hAnsi="宋体" w:eastAsia="宋体" w:cs="宋体"/>
          <w:b w:val="0"/>
          <w:bCs w:val="0"/>
          <w:color w:val="000000" w:themeColor="text1"/>
          <w:spacing w:val="3"/>
          <w:sz w:val="28"/>
          <w:szCs w:val="28"/>
          <w14:textFill>
            <w14:solidFill>
              <w14:schemeClr w14:val="tx1"/>
            </w14:solidFill>
          </w14:textFill>
        </w:rPr>
      </w:pPr>
      <w:r>
        <w:rPr>
          <w:rFonts w:hint="eastAsia" w:ascii="宋体" w:hAnsi="宋体" w:eastAsia="宋体" w:cs="宋体"/>
          <w:b w:val="0"/>
          <w:bCs w:val="0"/>
          <w:color w:val="000000" w:themeColor="text1"/>
          <w:spacing w:val="3"/>
          <w:sz w:val="28"/>
          <w:szCs w:val="28"/>
          <w:lang w:val="en-US" w:eastAsia="zh-CN"/>
          <w14:textFill>
            <w14:solidFill>
              <w14:schemeClr w14:val="tx1"/>
            </w14:solidFill>
          </w14:textFill>
        </w:rPr>
        <w:t>3.</w:t>
      </w:r>
      <w:r>
        <w:rPr>
          <w:rFonts w:hint="eastAsia" w:ascii="宋体" w:hAnsi="宋体" w:eastAsia="宋体" w:cs="宋体"/>
          <w:b w:val="0"/>
          <w:bCs w:val="0"/>
          <w:color w:val="000000" w:themeColor="text1"/>
          <w:spacing w:val="3"/>
          <w:sz w:val="28"/>
          <w:szCs w:val="28"/>
          <w14:textFill>
            <w14:solidFill>
              <w14:schemeClr w14:val="tx1"/>
            </w14:solidFill>
          </w14:textFill>
        </w:rPr>
        <w:t>三大保卫战取得阶段性胜利。全面实施大气、水、 土壤污染防治三大行动计划，生态环境质量明显改善。蓝天 保卫战全面推进。强化控煤、控气、控车、控尘、控烧“五控” 措施，开展柴油货车污染治理、工业炉窑整治、挥发性有机 物综合治理、秋冬季大气污染综合治理攻坚专项行动，深入 推进“散乱污”企业治理，基本淘汰 35 蒸吨/小时及以下燃煤 锅炉，升级实施水泥工业大气污染物排放地方标准，实现全 部火电机组超低排放，提前实施轻型机动车国Ⅵ排放标准。 碧水保卫战坚决有力。聚力开展工业、城镇、农业农村、船 舶港 口、饮用水水源地“五治”。实施巢湖碧水、安澜、富民“三 大工程”和环巢湖十大湿地等重大项目。强化淮河流域水环境 治理，加强沱湖流域水生态环境保护，实施引江济淮治污规 划。全省 231 条城市黑臭水体基本完成整治，1263 个农村“千 吨万人”饮用水水源保护区全部划定，省级以上工业园区全部 建成污水集中处理设施，实现乡镇政府驻地及省级美丽乡村 中心村污水处理设施全覆盖，船舶生活污水防污改造任务全 面完成。净土保卫战扎实开展。发布实施《安徽省污染地块 环境管理暂行办法》。 完成安徽省土壤污染状况详查、耕地 土壤环境质量类别划分，建成涵盖 1294 个国控点位的土壤 环境监测网络。全力提升危险废物利用处置、环境监管能力，持续开展“清废行动”和危险废物专项整治。出台涉疫医疗废 物收集转运处置7项措施，安全处置新冠医废 1208 吨。</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hint="eastAsia" w:ascii="宋体" w:hAnsi="宋体" w:eastAsia="宋体" w:cs="宋体"/>
          <w:b w:val="0"/>
          <w:bCs w:val="0"/>
          <w:color w:val="000000" w:themeColor="text1"/>
          <w:spacing w:val="3"/>
          <w:sz w:val="28"/>
          <w:szCs w:val="28"/>
          <w14:textFill>
            <w14:solidFill>
              <w14:schemeClr w14:val="tx1"/>
            </w14:solidFill>
          </w14:textFill>
        </w:rPr>
      </w:pPr>
      <w:r>
        <w:rPr>
          <w:rFonts w:hint="eastAsia" w:ascii="宋体" w:hAnsi="宋体" w:eastAsia="宋体" w:cs="宋体"/>
          <w:b w:val="0"/>
          <w:bCs w:val="0"/>
          <w:color w:val="000000" w:themeColor="text1"/>
          <w:spacing w:val="3"/>
          <w:sz w:val="28"/>
          <w:szCs w:val="28"/>
          <w:lang w:val="en-US" w:eastAsia="zh-CN"/>
          <w14:textFill>
            <w14:solidFill>
              <w14:schemeClr w14:val="tx1"/>
            </w14:solidFill>
          </w14:textFill>
        </w:rPr>
        <w:t>4.</w:t>
      </w:r>
      <w:r>
        <w:rPr>
          <w:rFonts w:hint="eastAsia" w:ascii="宋体" w:hAnsi="宋体" w:eastAsia="宋体" w:cs="宋体"/>
          <w:b w:val="0"/>
          <w:bCs w:val="0"/>
          <w:color w:val="000000" w:themeColor="text1"/>
          <w:spacing w:val="3"/>
          <w:sz w:val="28"/>
          <w:szCs w:val="28"/>
          <w14:textFill>
            <w14:solidFill>
              <w14:schemeClr w14:val="tx1"/>
            </w14:solidFill>
          </w14:textFill>
        </w:rPr>
        <w:t>推进高质量发展更加有力。“十三五”期间，生态环境保护对经济转型引导、优化、倒逼和促进作用明显增强。全省燃煤电厂、水泥熟料实现超低排放。节能环保产业产值年均增幅高于规上工业 7.5 个百分点，高新技术产业增加值占规上工业比重由 2015 年 的 36.9%上升至 “十三五”末 的 43.8% 。能源供给结构大幅优化 ，万元GDP 能耗累计下降16% ，可再生能源实现跨越式发展，非化石能源消费占比达到 9.7% ，比 2015 年提高 6.5 个百分点。</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hint="eastAsia" w:ascii="宋体" w:hAnsi="宋体" w:eastAsia="宋体" w:cs="宋体"/>
          <w:b w:val="0"/>
          <w:bCs w:val="0"/>
          <w:color w:val="000000" w:themeColor="text1"/>
          <w:spacing w:val="3"/>
          <w:sz w:val="28"/>
          <w:szCs w:val="28"/>
          <w14:textFill>
            <w14:solidFill>
              <w14:schemeClr w14:val="tx1"/>
            </w14:solidFill>
          </w14:textFill>
        </w:rPr>
      </w:pPr>
      <w:r>
        <w:rPr>
          <w:rFonts w:hint="eastAsia" w:ascii="宋体" w:hAnsi="宋体" w:eastAsia="宋体" w:cs="宋体"/>
          <w:b w:val="0"/>
          <w:bCs w:val="0"/>
          <w:color w:val="000000" w:themeColor="text1"/>
          <w:spacing w:val="3"/>
          <w:sz w:val="28"/>
          <w:szCs w:val="28"/>
          <w:lang w:val="en-US" w:eastAsia="zh-CN"/>
          <w14:textFill>
            <w14:solidFill>
              <w14:schemeClr w14:val="tx1"/>
            </w14:solidFill>
          </w14:textFill>
        </w:rPr>
        <w:t>5.</w:t>
      </w:r>
      <w:r>
        <w:rPr>
          <w:rFonts w:hint="eastAsia" w:ascii="宋体" w:hAnsi="宋体" w:eastAsia="宋体" w:cs="宋体"/>
          <w:b w:val="0"/>
          <w:bCs w:val="0"/>
          <w:color w:val="000000" w:themeColor="text1"/>
          <w:spacing w:val="3"/>
          <w:sz w:val="28"/>
          <w:szCs w:val="28"/>
          <w14:textFill>
            <w14:solidFill>
              <w14:schemeClr w14:val="tx1"/>
            </w14:solidFill>
          </w14:textFill>
        </w:rPr>
        <w:t>环境治理体系进一步完善。成立了由省委书记、省长担任双主任的省生态环境保护委员会，在全国首创省级领导包保突出生态环境问题整改机制，出台了现代环境治理体 系实施意见。制定、修订了《安徽省环境保护条例》等 5 项 地方性法规，发布实施安徽省《水泥工业大气污染物排放标准》等 3 项地方标准。实施“三线一单”分区管控措施，实现 固定污染源排污许可全覆盖。推深做实河（湖）长制，在全 国率先谋划开展林长制改革。新安江流域生态补偿机制试点 经验已在全省和全国其他 6 个流域、10 个省份复制推广。全面试行生态环境损害赔偿与责任追究制度，“池州月亮湖水污 染生态环境损害案”入选全国生态环境损害赔偿十大典型案 例。旌德县等 4 县入选国家级“绿水青山就是金山银山”实践 创新基地，宣城市等 11 个市（ 县、区）入选国家生态文明建设市（县）。《长江三角洲区域一体化发展规划纲要》及安徽行动计划全面实施，污染防治协作机制不断健全。</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2" w:name="_Toc1896"/>
      <w:r>
        <w:rPr>
          <w:rFonts w:cs="Arial"/>
          <w:b/>
          <w:color w:val="000000" w:themeColor="text1"/>
          <w:sz w:val="28"/>
          <w:szCs w:val="28"/>
          <w14:textFill>
            <w14:solidFill>
              <w14:schemeClr w14:val="tx1"/>
            </w14:solidFill>
          </w14:textFill>
        </w:rPr>
        <w:t>（ 二）存在的问题</w:t>
      </w:r>
      <w:bookmarkEnd w:id="2"/>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hint="eastAsia" w:ascii="Times New Roman" w:hAnsi="Times New Roman" w:eastAsia="宋体" w:cs="Times New Roman"/>
          <w:color w:val="000000" w:themeColor="text1"/>
          <w:spacing w:val="3"/>
          <w:sz w:val="28"/>
          <w:szCs w:val="28"/>
          <w:lang w:val="en-US" w:eastAsia="zh-CN"/>
          <w14:textFill>
            <w14:solidFill>
              <w14:schemeClr w14:val="tx1"/>
            </w14:solidFill>
          </w14:textFill>
        </w:rPr>
        <w:t>1.</w:t>
      </w:r>
      <w:r>
        <w:rPr>
          <w:rFonts w:ascii="Times New Roman" w:hAnsi="Times New Roman" w:eastAsia="Times New Roman" w:cs="Times New Roman"/>
          <w:color w:val="000000" w:themeColor="text1"/>
          <w:spacing w:val="3"/>
          <w:sz w:val="28"/>
          <w:szCs w:val="28"/>
          <w14:textFill>
            <w14:solidFill>
              <w14:schemeClr w14:val="tx1"/>
            </w14:solidFill>
          </w14:textFill>
        </w:rPr>
        <w:t>生态环境质量改善成效还不稳固。一是空气环境质量形势依然严峻。截至“十三五”末，全省细颗粒物（PM2.5 ）年均浓度距环境空气质量二级标准仍有差距，皖北城市浓度 依然偏高，臭氧已成为全省空气质量的首要污染物，细颗粒 物与臭氧协同控制亟需加强。二是水环境质量持续改善任务 艰巨。部分国家考核断面水质达标仍不稳定，湖泊总磷超标 现象比较普遍，巢湖水华频发趋势未得到根本改变，淮河流 域二、三级支流水质优良比例不高。城市污水收集管网存在 短板，县城及农村黑臭水体治理压力较大。三是土壤环境污 染管控任重道远。重污染企业、采矿区、工业企业遗留或遗 弃场地、工业聚集区及周边等区域土壤存在一定程度污染。农业农村污染历史积累问题较多，农业面源污染难以有效管 控，畜禽养殖污染量大面广，农药化肥利用效率不高。</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hint="eastAsia" w:ascii="Times New Roman" w:hAnsi="Times New Roman" w:eastAsia="宋体" w:cs="Times New Roman"/>
          <w:color w:val="000000" w:themeColor="text1"/>
          <w:spacing w:val="3"/>
          <w:sz w:val="28"/>
          <w:szCs w:val="28"/>
          <w:lang w:val="en-US" w:eastAsia="zh-CN"/>
          <w14:textFill>
            <w14:solidFill>
              <w14:schemeClr w14:val="tx1"/>
            </w14:solidFill>
          </w14:textFill>
        </w:rPr>
        <w:t>2.</w:t>
      </w:r>
      <w:r>
        <w:rPr>
          <w:rFonts w:ascii="Times New Roman" w:hAnsi="Times New Roman" w:eastAsia="Times New Roman" w:cs="Times New Roman"/>
          <w:color w:val="000000" w:themeColor="text1"/>
          <w:spacing w:val="3"/>
          <w:sz w:val="28"/>
          <w:szCs w:val="28"/>
          <w14:textFill>
            <w14:solidFill>
              <w14:schemeClr w14:val="tx1"/>
            </w14:solidFill>
          </w14:textFill>
        </w:rPr>
        <w:t>生态环境风险隐患仍然存在。长期形成的布局性环 境隐患和结构性环境风险，成为威胁区域生态环境安全的主 要隐患。部分工业园区规划建设不尽合理，企业生产区域与 居民住宅、商业区混杂带来的污染纠纷问题比较突出。外省 非法倾倒危废案件在我省时有发生，风险隐患较大。新污染 物不容忽视，防范体系亟待完善。生物多样性保护存在空缺 区域，保护力度不够。外来生物入侵危害依然存在，对全省生物多样性构成一定威胁。农村饮用水水源地建设管理不够 规范，存在饮水安全隐患。</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3</w:t>
      </w:r>
      <w:r>
        <w:rPr>
          <w:rFonts w:hint="eastAsia" w:ascii="Times New Roman" w:hAnsi="Times New Roman" w:eastAsia="宋体" w:cs="Times New Roman"/>
          <w:color w:val="000000" w:themeColor="text1"/>
          <w:spacing w:val="3"/>
          <w:sz w:val="28"/>
          <w:szCs w:val="28"/>
          <w:lang w:val="en-US" w:eastAsia="zh-CN"/>
          <w14:textFill>
            <w14:solidFill>
              <w14:schemeClr w14:val="tx1"/>
            </w14:solidFill>
          </w14:textFill>
        </w:rPr>
        <w:t>.</w:t>
      </w:r>
      <w:r>
        <w:rPr>
          <w:rFonts w:ascii="Times New Roman" w:hAnsi="Times New Roman" w:eastAsia="Times New Roman" w:cs="Times New Roman"/>
          <w:color w:val="000000" w:themeColor="text1"/>
          <w:spacing w:val="3"/>
          <w:sz w:val="28"/>
          <w:szCs w:val="28"/>
          <w14:textFill>
            <w14:solidFill>
              <w14:schemeClr w14:val="tx1"/>
            </w14:solidFill>
          </w14:textFill>
        </w:rPr>
        <w:t>生态环境治理体系与治理能力尚不能满足新形势要 求。一些地方责任落实、压力传导不到位，部分领导干部生 态环保认识仍有偏差，不能妥善处理发展与保护的关系。生 态环境保护相关地方法规标准仍不完善。虽然系统性、源头 性解决绿色发展问题的顶层设计已具备，但创新举措与手段 依然不足，生态环境治理手段单一，市场手段和社会参与程 度仍然偏弱，资源环境的市场配置效率有待进一步提高。生 态环境保护协调推进机制未充分发挥作用，部分污染防治领 域信息共享和联动监管机制尚未完全建立。农村环境整治缺 乏统筹性、协同性。环境基础能力保障仍显不足，环境风险 管控和应急能力建设比较薄弱，环保执法队伍建设、监管能 力、管理手段亟需提升，现代信息技术应用有待进一步加强。</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hint="eastAsia" w:ascii="Times New Roman" w:hAnsi="Times New Roman" w:eastAsia="宋体" w:cs="Times New Roman"/>
          <w:color w:val="000000" w:themeColor="text1"/>
          <w:spacing w:val="3"/>
          <w:sz w:val="28"/>
          <w:szCs w:val="28"/>
          <w:lang w:val="en-US" w:eastAsia="zh-CN"/>
          <w14:textFill>
            <w14:solidFill>
              <w14:schemeClr w14:val="tx1"/>
            </w14:solidFill>
          </w14:textFill>
        </w:rPr>
        <w:t>4.</w:t>
      </w:r>
      <w:r>
        <w:rPr>
          <w:rFonts w:ascii="Times New Roman" w:hAnsi="Times New Roman" w:eastAsia="Times New Roman" w:cs="Times New Roman"/>
          <w:color w:val="000000" w:themeColor="text1"/>
          <w:spacing w:val="3"/>
          <w:sz w:val="28"/>
          <w:szCs w:val="28"/>
          <w14:textFill>
            <w14:solidFill>
              <w14:schemeClr w14:val="tx1"/>
            </w14:solidFill>
          </w14:textFill>
        </w:rPr>
        <w:t>绿色低碳发展水平有待进一步提升。我省生态环境保护和经济发展协调性仍有较大提升空间。产业结构依然偏重，低碳转型进程有待加快，第二产业仍处于主导地位，全省钢铁、水泥、玻璃等高耗能产业占比较高，经济增长与碳 排放脱钩难度很大。能源结构偏煤，受资源禀赋影响，我省 发展清洁能源的空间较为有限，煤炭在能源消费中占据主体地位的特征短期难以发生根本性变化，实现碳达峰目标压力 较大。交通运输结构有待进一步优化，柴油货车运输仍是货 运主要方式，铁路、水路运输的比较优势有待进一步发挥。</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3" w:name="_Toc13054"/>
      <w:r>
        <w:rPr>
          <w:rFonts w:cs="Arial"/>
          <w:b/>
          <w:color w:val="000000" w:themeColor="text1"/>
          <w:sz w:val="28"/>
          <w:szCs w:val="28"/>
          <w14:textFill>
            <w14:solidFill>
              <w14:schemeClr w14:val="tx1"/>
            </w14:solidFill>
          </w14:textFill>
        </w:rPr>
        <w:t>（ 三）面临的机遇与挑战</w:t>
      </w:r>
      <w:bookmarkEnd w:id="3"/>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“十四五”时期，我省生态环境保护将面临众多机遇。一 是立足新发展阶段，贯彻新发展理念，构建新发展格局，碳 达峰碳中和纳入生态文明建设整体布局，为建设绿色江淮美 好家园带来新发展契机。二是国家推动共建“一带一路” 、统 筹推进长江经济带发展、长三角一体化发展、中部地区高质 量发展等重大战略在我省叠加 ，区域生态环境共保联治推 进，为我省生态环境保护带来新动力。三是着力打造具有重 要影响力的科技创新策源地、新兴产业聚集地、改革开放新 高地和经济社会发展全面绿色转型区，为扩大产业转型升级 提供新动能。 四是大力发展新能源和节能环保产业战略布 局，为持续改善生态环境质量和系统性解决生态环境问题提 供新路径。</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“十四五”期间，我省生态环境保护形势依然严峻，深入 打好污染防治攻坚战面临多重挑战。一是受新冠肺炎疫情影 响，经济复苏过程中部分污染物排放量大的行业回暖较快， 统筹发展和保护的难度增加。二是国家对温室气体减排、生 物多样性保护等提出了新的更高要求，环境治理体系和治理 能力现代化建设尚需进一步提升。三是我省污染物排放总量 基数大，污染物排放压减空间不断收窄，生态环境质量持续 改善压力较大，对照人民群众日益增长的美好生活期盼还有 差距。</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综合研判，“十四五”及今后一个时期，我省生态环境保护工作面临的机遇与挑战并存，全面推进生态环境持续改善 依然任重道远。必须保持战略定力，强化系统观念，坚持底 线思维，充分把握新机遇新形势，妥善应对各种风险和挑战， 努力开创生态环境保护新局面。</w:t>
      </w:r>
    </w:p>
    <w:p>
      <w:pPr>
        <w:pStyle w:val="2"/>
        <w:keepNext/>
        <w:keepLines/>
        <w:pageBreakBefore w:val="0"/>
        <w:widowControl/>
        <w:kinsoku w:val="0"/>
        <w:wordWrap/>
        <w:overflowPunct/>
        <w:topLinePunct w:val="0"/>
        <w:autoSpaceDE w:val="0"/>
        <w:autoSpaceDN w:val="0"/>
        <w:bidi w:val="0"/>
        <w:adjustRightInd w:val="0"/>
        <w:snapToGrid w:val="0"/>
        <w:spacing w:before="0" w:after="0" w:line="360" w:lineRule="auto"/>
        <w:textAlignment w:val="baseline"/>
        <w:rPr>
          <w:rFonts w:hint="eastAsia" w:ascii="宋体" w:hAnsi="宋体" w:eastAsia="宋体" w:cs="宋体"/>
          <w:b/>
          <w:color w:val="000000" w:themeColor="text1"/>
          <w:sz w:val="28"/>
          <w:szCs w:val="28"/>
          <w14:textFill>
            <w14:solidFill>
              <w14:schemeClr w14:val="tx1"/>
            </w14:solidFill>
          </w14:textFill>
        </w:rPr>
      </w:pPr>
      <w:bookmarkStart w:id="4" w:name="_Toc12557"/>
      <w:r>
        <w:rPr>
          <w:rFonts w:hint="eastAsia" w:ascii="宋体" w:hAnsi="宋体" w:eastAsia="宋体" w:cs="宋体"/>
          <w:b/>
          <w:color w:val="000000" w:themeColor="text1"/>
          <w:sz w:val="28"/>
          <w:szCs w:val="28"/>
          <w14:textFill>
            <w14:solidFill>
              <w14:schemeClr w14:val="tx1"/>
            </w14:solidFill>
          </w14:textFill>
        </w:rPr>
        <w:t>二、总体要求</w:t>
      </w:r>
      <w:bookmarkEnd w:id="4"/>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5" w:name="_Toc1055"/>
      <w:r>
        <w:rPr>
          <w:rFonts w:cs="Arial"/>
          <w:b/>
          <w:color w:val="000000" w:themeColor="text1"/>
          <w:sz w:val="28"/>
          <w:szCs w:val="28"/>
          <w14:textFill>
            <w14:solidFill>
              <w14:schemeClr w14:val="tx1"/>
            </w14:solidFill>
          </w14:textFill>
        </w:rPr>
        <w:t>（ 一）指导思想</w:t>
      </w:r>
      <w:bookmarkEnd w:id="5"/>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以习近平新时代中国特色社会主义思想为指导，全面贯 彻党的十九大和十九届历次全会精神，深入贯彻习近平生态 文明思想和习近平总书记对安徽作出的系列重要讲话指示 批示，认真落实省第十一次党代会精神和省委、省政府决策 部署，坚定不移贯彻新发展理念，紧扣推动高质量发展、构 建新发展格局，坚持减污降碳总要求，注重系统治理、源头 治理和综合治理，突出精准、科学、依法治污，深入打好污 染防治攻坚战，统筹推进“提气降碳强生态，增水固土防风 险”，积极推进生态环境治理体系和治理能力现代化，加快建 设经济社会发展全面绿色转型区，不断满足人民日益增长的 优美生态环境需要，为建设现代化美好安徽提供坚实的生态 环境支撑。</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6" w:name="_Toc29721"/>
      <w:r>
        <w:rPr>
          <w:rFonts w:cs="Arial"/>
          <w:b/>
          <w:color w:val="000000" w:themeColor="text1"/>
          <w:sz w:val="28"/>
          <w:szCs w:val="28"/>
          <w14:textFill>
            <w14:solidFill>
              <w14:schemeClr w14:val="tx1"/>
            </w14:solidFill>
          </w14:textFill>
        </w:rPr>
        <w:t>（ 二）基本原则</w:t>
      </w:r>
      <w:bookmarkEnd w:id="6"/>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坚持生态优先，绿色发展。把新发展理念贯穿到现代化 美好安徽建设全过程、各领域，更加突出生态优先、绿色发 展，深入践行“绿水青山就是金山银山”理念，发挥好生态环 境保护对经济发展的优化促进作用，实现高水平保护和高质量发展协同并进。</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坚持质量核心，强化协同。坚持以改善生态环境质量为 核心，强化生态环境统筹保护和协同治理，做到生态保护修 复与环境治理相统筹，城市治理与乡村建设相统筹，环境治 理、生态修复、应对气候变化相统筹，做到预防和治理结合， 减污和降碳并重。</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坚持稳中求进，重点突破。实现生态环境质量改善由量 变到质变，保持力度、延伸深度、拓宽广度，集中力量攻克 人民群众身边的突出生态环境问题，推动污染防治在重点区 域、重要领域、关键指标上实现新突破。</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坚持多方参与，共同推进。落实党委领导、政府主导、 企业主体责任 ，动员社会组织和公众积极参与生态环境保 护，激励与约束并举，政府与市场“两手发力” ，形成政府、 企业、社会组织和公众共同参与的现代化环境治理体系。</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7" w:name="_Toc13768"/>
      <w:r>
        <w:rPr>
          <w:rFonts w:cs="Arial"/>
          <w:b/>
          <w:color w:val="000000" w:themeColor="text1"/>
          <w:sz w:val="28"/>
          <w:szCs w:val="28"/>
          <w14:textFill>
            <w14:solidFill>
              <w14:schemeClr w14:val="tx1"/>
            </w14:solidFill>
          </w14:textFill>
        </w:rPr>
        <w:t>（ 三）规划目标</w:t>
      </w:r>
      <w:bookmarkEnd w:id="7"/>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38" w:firstLineChars="200"/>
        <w:textAlignment w:val="baseline"/>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6"/>
          <w:sz w:val="28"/>
          <w:szCs w:val="28"/>
          <w14:textFill>
            <w14:solidFill>
              <w14:schemeClr w14:val="tx1"/>
            </w14:solidFill>
          </w14:textFill>
        </w:rPr>
        <w:t>1．总体目标。</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到 2025 年，在全面建成小康社会、深入打好污染防治攻坚战的基础上，实现生态环境质量持续改善，生态环境治理体系与治理能力显著提升，人居环境更加和谐，逐步形成 “绿色、共享、高效、低耗”的生产生活方式。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——绿色低碳发展格局总体形成。国土空间开发保护格 局、产业结构布局持续优化，绿色发展内生动力进一步增强， 生态产品价值实现路径进一步拓宽 ，能源资源配置更加合理、利用效率显著提高，应对气候变化能力明显增强，全民 生态文明意识稳步提升。</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 xml:space="preserve">—— 生态环境质量持续改善。环境空气质量持续改善， 全省细颗粒物（ PM2.5 ）浓度总体达标，基本消除重污染天气， 优良天数比率进一步提升； </w:t>
      </w:r>
      <w:r>
        <w:rPr>
          <w:rFonts w:ascii="Times New Roman" w:hAnsi="Times New Roman" w:eastAsia="Times New Roman" w:cs="Times New Roman"/>
          <w:color w:val="000000" w:themeColor="text1"/>
          <w:spacing w:val="3"/>
          <w:sz w:val="28"/>
          <w:szCs w:val="28"/>
          <w14:textFill>
            <w14:solidFill>
              <w14:schemeClr w14:val="tx1"/>
            </w14:solidFill>
          </w14:textFill>
        </w:rPr>
        <w:t>水环境质量全面改善，水生态功能初步恢复，地表水国家考核断面达到或好于 III 类水体比例达到 83%以上，基本消除劣 V 类断面和城市黑臭水体。</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 生态环境安全有力保障。山水林田湖草沙系统保护修复全面推进，生态系统质量和稳定性全面提升，生物多样性保护成效更加巩固，生物安全与生态风险防范水平显著提 高，自然生态系统基本实现良性循环，优质生态产品供给能力全面提高。</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 生态环境治理效能显著提升。生态文明制度改革深 入推进，生态环境共保联治机制不断强化，生态环境监管智慧化水平显著提升，导向清晰、决策科学、执行有力、激励有效、多元参与的现代化环境治理体系基本建立。</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展望 2035 年，碳排放达峰后稳中有降，生态环境质量根本好转，生态系统服务功能显著提升，生态安全得到有效保障，生态环境治理体系和治理能力现代化全面实现，人与自然和谐共生的美好安徽建设目标基本实现。</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firstLine="536" w:firstLineChars="200"/>
        <w:textAlignment w:val="baseline"/>
        <w:rPr>
          <w:rFonts w:ascii="Times New Roman" w:hAnsi="Times New Roman" w:eastAsia="Times New Roman" w:cs="Times New Roman"/>
          <w:b/>
          <w:bCs/>
          <w:color w:val="000000" w:themeColor="text1"/>
          <w:spacing w:val="-6"/>
          <w:sz w:val="28"/>
          <w:szCs w:val="28"/>
          <w14:textFill>
            <w14:solidFill>
              <w14:schemeClr w14:val="tx1"/>
            </w14:solidFill>
          </w14:textFill>
        </w:rPr>
      </w:pPr>
      <w:r>
        <w:rPr>
          <w:rFonts w:ascii="Times New Roman" w:hAnsi="Times New Roman" w:eastAsia="Times New Roman" w:cs="Times New Roman"/>
          <w:b/>
          <w:bCs/>
          <w:color w:val="000000" w:themeColor="text1"/>
          <w:spacing w:val="-6"/>
          <w:sz w:val="28"/>
          <w:szCs w:val="28"/>
          <w14:textFill>
            <w14:solidFill>
              <w14:schemeClr w14:val="tx1"/>
            </w14:solidFill>
          </w14:textFill>
        </w:rPr>
        <w:t>指标体系。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为实现生态环境质量持续改善，我省“十四五”指标体系包括环境治理、应对气候变化、环境风险防控、 生态保护 4 大类 17 项指标。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sectPr>
          <w:footerReference r:id="rId5" w:type="default"/>
          <w:pgSz w:w="11906" w:h="16839"/>
          <w:pgMar w:top="1431" w:right="1668" w:bottom="1053" w:left="1785" w:header="0" w:footer="855" w:gutter="0"/>
          <w:cols w:space="720" w:num="1"/>
        </w:sectPr>
      </w:pPr>
    </w:p>
    <w:p>
      <w:pPr>
        <w:pageBreakBefore w:val="0"/>
        <w:widowControl/>
        <w:kinsoku w:val="0"/>
        <w:wordWrap/>
        <w:overflowPunct/>
        <w:topLinePunct w:val="0"/>
        <w:autoSpaceDE w:val="0"/>
        <w:autoSpaceDN w:val="0"/>
        <w:bidi w:val="0"/>
        <w:adjustRightInd w:val="0"/>
        <w:snapToGrid w:val="0"/>
        <w:spacing w:before="228" w:line="206" w:lineRule="auto"/>
        <w:ind w:firstLine="2401"/>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1"/>
          <w:sz w:val="28"/>
          <w:szCs w:val="28"/>
          <w14:textFill>
            <w14:solidFill>
              <w14:schemeClr w14:val="tx1"/>
            </w14:solidFill>
          </w14:textFill>
        </w:rPr>
        <w:t>省</w:t>
      </w:r>
      <w:r>
        <w:rPr>
          <w:rFonts w:ascii="Times New Roman" w:hAnsi="Times New Roman" w:eastAsia="Times New Roman" w:cs="Times New Roman"/>
          <w:color w:val="000000" w:themeColor="text1"/>
          <w:spacing w:val="-1"/>
          <w:sz w:val="28"/>
          <w:szCs w:val="28"/>
          <w14:textFill>
            <w14:solidFill>
              <w14:schemeClr w14:val="tx1"/>
            </w14:solidFill>
          </w14:textFill>
        </w:rPr>
        <w:t>“</w:t>
      </w:r>
      <w:r>
        <w:rPr>
          <w:rFonts w:ascii="黑体" w:hAnsi="黑体" w:eastAsia="黑体" w:cs="黑体"/>
          <w:color w:val="000000" w:themeColor="text1"/>
          <w:spacing w:val="-1"/>
          <w:sz w:val="28"/>
          <w:szCs w:val="28"/>
          <w14:textFill>
            <w14:solidFill>
              <w14:schemeClr w14:val="tx1"/>
            </w14:solidFill>
          </w14:textFill>
        </w:rPr>
        <w:t>十四五</w:t>
      </w:r>
      <w:r>
        <w:rPr>
          <w:rFonts w:ascii="Times New Roman" w:hAnsi="Times New Roman" w:eastAsia="Times New Roman" w:cs="Times New Roman"/>
          <w:color w:val="000000" w:themeColor="text1"/>
          <w:spacing w:val="-1"/>
          <w:sz w:val="28"/>
          <w:szCs w:val="28"/>
          <w14:textFill>
            <w14:solidFill>
              <w14:schemeClr w14:val="tx1"/>
            </w14:solidFill>
          </w14:textFill>
        </w:rPr>
        <w:t>”</w:t>
      </w:r>
      <w:r>
        <w:rPr>
          <w:rFonts w:ascii="黑体" w:hAnsi="黑体" w:eastAsia="黑体" w:cs="黑体"/>
          <w:color w:val="000000" w:themeColor="text1"/>
          <w:spacing w:val="-1"/>
          <w:sz w:val="28"/>
          <w:szCs w:val="28"/>
          <w14:textFill>
            <w14:solidFill>
              <w14:schemeClr w14:val="tx1"/>
            </w14:solidFill>
          </w14:textFill>
        </w:rPr>
        <w:t>生态环境保护主要指标</w:t>
      </w:r>
    </w:p>
    <w:p>
      <w:pPr>
        <w:pageBreakBefore w:val="0"/>
        <w:widowControl/>
        <w:kinsoku w:val="0"/>
        <w:wordWrap/>
        <w:overflowPunct/>
        <w:topLinePunct w:val="0"/>
        <w:autoSpaceDE w:val="0"/>
        <w:autoSpaceDN w:val="0"/>
        <w:bidi w:val="0"/>
        <w:adjustRightInd w:val="0"/>
        <w:snapToGrid w:val="0"/>
        <w:spacing w:line="57" w:lineRule="exact"/>
        <w:rPr>
          <w:color w:val="000000" w:themeColor="text1"/>
          <w:sz w:val="28"/>
          <w:szCs w:val="28"/>
          <w14:textFill>
            <w14:solidFill>
              <w14:schemeClr w14:val="tx1"/>
            </w14:solidFill>
          </w14:textFill>
        </w:rPr>
      </w:pPr>
    </w:p>
    <w:tbl>
      <w:tblPr>
        <w:tblStyle w:val="8"/>
        <w:tblW w:w="89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96"/>
        <w:gridCol w:w="2748"/>
        <w:gridCol w:w="1054"/>
        <w:gridCol w:w="1552"/>
        <w:gridCol w:w="11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111" w:line="205" w:lineRule="auto"/>
              <w:ind w:firstLine="2339"/>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5"/>
                <w:sz w:val="28"/>
                <w:szCs w:val="28"/>
                <w14:textFill>
                  <w14:solidFill>
                    <w14:schemeClr w14:val="tx1"/>
                  </w14:solidFill>
                </w14:textFill>
              </w:rPr>
              <w:t>指标</w:t>
            </w:r>
          </w:p>
        </w:tc>
        <w:tc>
          <w:tcPr>
            <w:tcW w:w="1054" w:type="dxa"/>
            <w:vAlign w:val="top"/>
          </w:tcPr>
          <w:p>
            <w:pPr>
              <w:pageBreakBefore w:val="0"/>
              <w:widowControl/>
              <w:kinsoku w:val="0"/>
              <w:wordWrap/>
              <w:overflowPunct/>
              <w:topLinePunct w:val="0"/>
              <w:autoSpaceDE w:val="0"/>
              <w:autoSpaceDN w:val="0"/>
              <w:bidi w:val="0"/>
              <w:adjustRightInd w:val="0"/>
              <w:snapToGrid w:val="0"/>
              <w:spacing w:before="111" w:line="205" w:lineRule="auto"/>
              <w:ind w:firstLine="140"/>
              <w:rPr>
                <w:rFonts w:ascii="黑体" w:hAnsi="黑体" w:eastAsia="黑体" w:cs="黑体"/>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2"/>
                <w:sz w:val="28"/>
                <w:szCs w:val="28"/>
                <w14:textFill>
                  <w14:solidFill>
                    <w14:schemeClr w14:val="tx1"/>
                  </w14:solidFill>
                </w14:textFill>
              </w:rPr>
              <w:t>2020</w:t>
            </w:r>
            <w:r>
              <w:rPr>
                <w:rFonts w:ascii="Times New Roman" w:hAnsi="Times New Roman" w:eastAsia="Times New Roman" w:cs="Times New Roman"/>
                <w:color w:val="000000" w:themeColor="text1"/>
                <w:spacing w:val="19"/>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年</w:t>
            </w:r>
          </w:p>
        </w:tc>
        <w:tc>
          <w:tcPr>
            <w:tcW w:w="1552" w:type="dxa"/>
            <w:vAlign w:val="top"/>
          </w:tcPr>
          <w:p>
            <w:pPr>
              <w:pageBreakBefore w:val="0"/>
              <w:widowControl/>
              <w:kinsoku w:val="0"/>
              <w:wordWrap/>
              <w:overflowPunct/>
              <w:topLinePunct w:val="0"/>
              <w:autoSpaceDE w:val="0"/>
              <w:autoSpaceDN w:val="0"/>
              <w:bidi w:val="0"/>
              <w:adjustRightInd w:val="0"/>
              <w:snapToGrid w:val="0"/>
              <w:spacing w:before="111" w:line="205" w:lineRule="auto"/>
              <w:ind w:firstLine="152"/>
              <w:rPr>
                <w:rFonts w:ascii="黑体" w:hAnsi="黑体" w:eastAsia="黑体" w:cs="黑体"/>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4"/>
                <w:sz w:val="28"/>
                <w:szCs w:val="28"/>
                <w14:textFill>
                  <w14:solidFill>
                    <w14:schemeClr w14:val="tx1"/>
                  </w14:solidFill>
                </w14:textFill>
              </w:rPr>
              <w:t>2025</w:t>
            </w:r>
            <w:r>
              <w:rPr>
                <w:rFonts w:ascii="Times New Roman" w:hAnsi="Times New Roman" w:eastAsia="Times New Roman" w:cs="Times New Roman"/>
                <w:color w:val="000000" w:themeColor="text1"/>
                <w:spacing w:val="22"/>
                <w:w w:val="101"/>
                <w:sz w:val="28"/>
                <w:szCs w:val="28"/>
                <w14:textFill>
                  <w14:solidFill>
                    <w14:schemeClr w14:val="tx1"/>
                  </w14:solidFill>
                </w14:textFill>
              </w:rPr>
              <w:t xml:space="preserve"> </w:t>
            </w:r>
            <w:r>
              <w:rPr>
                <w:rFonts w:ascii="黑体" w:hAnsi="黑体" w:eastAsia="黑体" w:cs="黑体"/>
                <w:color w:val="000000" w:themeColor="text1"/>
                <w:spacing w:val="-4"/>
                <w:sz w:val="28"/>
                <w:szCs w:val="28"/>
                <w14:textFill>
                  <w14:solidFill>
                    <w14:schemeClr w14:val="tx1"/>
                  </w14:solidFill>
                </w14:textFill>
              </w:rPr>
              <w:t>年目标</w:t>
            </w:r>
          </w:p>
        </w:tc>
        <w:tc>
          <w:tcPr>
            <w:tcW w:w="1198" w:type="dxa"/>
            <w:vAlign w:val="top"/>
          </w:tcPr>
          <w:p>
            <w:pPr>
              <w:pageBreakBefore w:val="0"/>
              <w:widowControl/>
              <w:kinsoku w:val="0"/>
              <w:wordWrap/>
              <w:overflowPunct/>
              <w:topLinePunct w:val="0"/>
              <w:autoSpaceDE w:val="0"/>
              <w:autoSpaceDN w:val="0"/>
              <w:bidi w:val="0"/>
              <w:adjustRightInd w:val="0"/>
              <w:snapToGrid w:val="0"/>
              <w:spacing w:before="111" w:line="205" w:lineRule="auto"/>
              <w:ind w:firstLine="128"/>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3"/>
                <w:sz w:val="28"/>
                <w:szCs w:val="28"/>
                <w14:textFill>
                  <w14:solidFill>
                    <w14:schemeClr w14:val="tx1"/>
                  </w14:solidFill>
                </w14:textFill>
              </w:rPr>
              <w:t>指标属性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8948" w:type="dxa"/>
            <w:gridSpan w:val="5"/>
            <w:vAlign w:val="top"/>
          </w:tcPr>
          <w:p>
            <w:pPr>
              <w:pageBreakBefore w:val="0"/>
              <w:widowControl/>
              <w:kinsoku w:val="0"/>
              <w:wordWrap/>
              <w:overflowPunct/>
              <w:topLinePunct w:val="0"/>
              <w:autoSpaceDE w:val="0"/>
              <w:autoSpaceDN w:val="0"/>
              <w:bidi w:val="0"/>
              <w:adjustRightInd w:val="0"/>
              <w:snapToGrid w:val="0"/>
              <w:spacing w:before="107" w:line="205" w:lineRule="auto"/>
              <w:ind w:firstLine="96"/>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18"/>
                <w:sz w:val="28"/>
                <w:szCs w:val="28"/>
                <w14:textFill>
                  <w14:solidFill>
                    <w14:schemeClr w14:val="tx1"/>
                  </w14:solidFill>
                </w14:textFill>
              </w:rPr>
              <w:t>（</w:t>
            </w:r>
            <w:r>
              <w:rPr>
                <w:rFonts w:ascii="黑体" w:hAnsi="黑体" w:eastAsia="黑体" w:cs="黑体"/>
                <w:color w:val="000000" w:themeColor="text1"/>
                <w:spacing w:val="-41"/>
                <w:sz w:val="28"/>
                <w:szCs w:val="28"/>
                <w14:textFill>
                  <w14:solidFill>
                    <w14:schemeClr w14:val="tx1"/>
                  </w14:solidFill>
                </w14:textFill>
              </w:rPr>
              <w:t xml:space="preserve"> </w:t>
            </w:r>
            <w:r>
              <w:rPr>
                <w:rFonts w:ascii="黑体" w:hAnsi="黑体" w:eastAsia="黑体" w:cs="黑体"/>
                <w:color w:val="000000" w:themeColor="text1"/>
                <w:spacing w:val="-18"/>
                <w:sz w:val="28"/>
                <w:szCs w:val="28"/>
                <w14:textFill>
                  <w14:solidFill>
                    <w14:schemeClr w14:val="tx1"/>
                  </w14:solidFill>
                </w14:textFill>
              </w:rPr>
              <w:t>一</w:t>
            </w:r>
            <w:r>
              <w:rPr>
                <w:rFonts w:ascii="黑体" w:hAnsi="黑体" w:eastAsia="黑体" w:cs="黑体"/>
                <w:color w:val="000000" w:themeColor="text1"/>
                <w:spacing w:val="-62"/>
                <w:sz w:val="28"/>
                <w:szCs w:val="28"/>
                <w14:textFill>
                  <w14:solidFill>
                    <w14:schemeClr w14:val="tx1"/>
                  </w14:solidFill>
                </w14:textFill>
              </w:rPr>
              <w:t xml:space="preserve"> </w:t>
            </w:r>
            <w:r>
              <w:rPr>
                <w:rFonts w:ascii="黑体" w:hAnsi="黑体" w:eastAsia="黑体" w:cs="黑体"/>
                <w:color w:val="000000" w:themeColor="text1"/>
                <w:spacing w:val="-18"/>
                <w:sz w:val="28"/>
                <w:szCs w:val="28"/>
                <w14:textFill>
                  <w14:solidFill>
                    <w14:schemeClr w14:val="tx1"/>
                  </w14:solidFill>
                </w14:textFill>
              </w:rPr>
              <w:t>）环境治理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115" w:line="261" w:lineRule="auto"/>
              <w:ind w:left="122" w:right="101"/>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12"/>
                <w:w w:val="99"/>
                <w:sz w:val="28"/>
                <w:szCs w:val="28"/>
                <w14:textFill>
                  <w14:solidFill>
                    <w14:schemeClr w14:val="tx1"/>
                  </w14:solidFill>
                </w14:textFill>
              </w:rPr>
              <w:t>（</w:t>
            </w:r>
            <w:r>
              <w:rPr>
                <w:rFonts w:ascii="Times New Roman" w:hAnsi="Times New Roman" w:eastAsia="Times New Roman" w:cs="Times New Roman"/>
                <w:color w:val="000000" w:themeColor="text1"/>
                <w:spacing w:val="-12"/>
                <w:w w:val="99"/>
                <w:sz w:val="28"/>
                <w:szCs w:val="28"/>
                <w14:textFill>
                  <w14:solidFill>
                    <w14:schemeClr w14:val="tx1"/>
                  </w14:solidFill>
                </w14:textFill>
              </w:rPr>
              <w:t>1</w:t>
            </w:r>
            <w:r>
              <w:rPr>
                <w:rFonts w:ascii="宋体" w:hAnsi="宋体" w:eastAsia="宋体" w:cs="宋体"/>
                <w:color w:val="000000" w:themeColor="text1"/>
                <w:spacing w:val="-12"/>
                <w:w w:val="99"/>
                <w:sz w:val="28"/>
                <w:szCs w:val="28"/>
                <w14:textFill>
                  <w14:solidFill>
                    <w14:schemeClr w14:val="tx1"/>
                  </w14:solidFill>
                </w14:textFill>
              </w:rPr>
              <w:t>）地级及以上城市细颗粒物（</w:t>
            </w:r>
            <w:r>
              <w:rPr>
                <w:rFonts w:ascii="Times New Roman" w:hAnsi="Times New Roman" w:eastAsia="Times New Roman" w:cs="Times New Roman"/>
                <w:color w:val="000000" w:themeColor="text1"/>
                <w:spacing w:val="-12"/>
                <w:w w:val="99"/>
                <w:sz w:val="28"/>
                <w:szCs w:val="28"/>
                <w14:textFill>
                  <w14:solidFill>
                    <w14:schemeClr w14:val="tx1"/>
                  </w14:solidFill>
                </w14:textFill>
              </w:rPr>
              <w:t>PM</w:t>
            </w:r>
            <w:r>
              <w:rPr>
                <w:rFonts w:ascii="Times New Roman" w:hAnsi="Times New Roman" w:eastAsia="Times New Roman" w:cs="Times New Roman"/>
                <w:color w:val="000000" w:themeColor="text1"/>
                <w:spacing w:val="-12"/>
                <w:w w:val="99"/>
                <w:position w:val="-1"/>
                <w:sz w:val="28"/>
                <w:szCs w:val="28"/>
                <w14:textFill>
                  <w14:solidFill>
                    <w14:schemeClr w14:val="tx1"/>
                  </w14:solidFill>
                </w14:textFill>
              </w:rPr>
              <w:t>2.5</w:t>
            </w:r>
            <w:r>
              <w:rPr>
                <w:rFonts w:ascii="宋体" w:hAnsi="宋体" w:eastAsia="宋体" w:cs="宋体"/>
                <w:color w:val="000000" w:themeColor="text1"/>
                <w:spacing w:val="-12"/>
                <w:w w:val="99"/>
                <w:sz w:val="28"/>
                <w:szCs w:val="28"/>
                <w14:textFill>
                  <w14:solidFill>
                    <w14:schemeClr w14:val="tx1"/>
                  </w14:solidFill>
                </w14:textFill>
              </w:rPr>
              <w:t>）浓度（微</w:t>
            </w:r>
            <w:r>
              <w:rPr>
                <w:rFonts w:ascii="宋体" w:hAnsi="宋体" w:eastAsia="宋体" w:cs="宋体"/>
                <w:color w:val="000000" w:themeColor="text1"/>
                <w:spacing w:val="-3"/>
                <w:sz w:val="28"/>
                <w:szCs w:val="28"/>
                <w14:textFill>
                  <w14:solidFill>
                    <w14:schemeClr w14:val="tx1"/>
                  </w14:solidFill>
                </w14:textFill>
              </w:rPr>
              <w:t>克</w:t>
            </w:r>
            <w:r>
              <w:rPr>
                <w:rFonts w:ascii="Times New Roman" w:hAnsi="Times New Roman" w:eastAsia="Times New Roman" w:cs="Times New Roman"/>
                <w:color w:val="000000" w:themeColor="text1"/>
                <w:spacing w:val="-3"/>
                <w:sz w:val="28"/>
                <w:szCs w:val="28"/>
                <w14:textFill>
                  <w14:solidFill>
                    <w14:schemeClr w14:val="tx1"/>
                  </w14:solidFill>
                </w14:textFill>
              </w:rPr>
              <w:t>/</w:t>
            </w:r>
            <w:r>
              <w:rPr>
                <w:rFonts w:ascii="宋体" w:hAnsi="宋体" w:eastAsia="宋体" w:cs="宋体"/>
                <w:color w:val="000000" w:themeColor="text1"/>
                <w:spacing w:val="-3"/>
                <w:sz w:val="28"/>
                <w:szCs w:val="28"/>
                <w14:textFill>
                  <w14:solidFill>
                    <w14:schemeClr w14:val="tx1"/>
                  </w14:solidFill>
                </w14:textFill>
              </w:rPr>
              <w:t>立方米）</w:t>
            </w:r>
          </w:p>
        </w:tc>
        <w:tc>
          <w:tcPr>
            <w:tcW w:w="1054" w:type="dxa"/>
            <w:vAlign w:val="top"/>
          </w:tcPr>
          <w:p>
            <w:pPr>
              <w:pageBreakBefore w:val="0"/>
              <w:widowControl/>
              <w:kinsoku w:val="0"/>
              <w:wordWrap/>
              <w:overflowPunct/>
              <w:topLinePunct w:val="0"/>
              <w:autoSpaceDE w:val="0"/>
              <w:autoSpaceDN w:val="0"/>
              <w:bidi w:val="0"/>
              <w:adjustRightInd w:val="0"/>
              <w:snapToGrid w:val="0"/>
              <w:spacing w:line="285" w:lineRule="auto"/>
              <w:rPr>
                <w:rFonts w:ascii="Times New Roman"/>
                <w:color w:val="000000" w:themeColor="text1"/>
                <w:sz w:val="28"/>
                <w:szCs w:val="28"/>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before="69" w:line="180" w:lineRule="auto"/>
              <w:ind w:firstLine="414"/>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5"/>
                <w:sz w:val="28"/>
                <w:szCs w:val="28"/>
                <w14:textFill>
                  <w14:solidFill>
                    <w14:schemeClr w14:val="tx1"/>
                  </w14:solidFill>
                </w14:textFill>
              </w:rPr>
              <w:t>39</w:t>
            </w:r>
          </w:p>
        </w:tc>
        <w:tc>
          <w:tcPr>
            <w:tcW w:w="1552" w:type="dxa"/>
            <w:vAlign w:val="top"/>
          </w:tcPr>
          <w:p>
            <w:pPr>
              <w:pageBreakBefore w:val="0"/>
              <w:widowControl/>
              <w:kinsoku w:val="0"/>
              <w:wordWrap/>
              <w:overflowPunct/>
              <w:topLinePunct w:val="0"/>
              <w:autoSpaceDE w:val="0"/>
              <w:autoSpaceDN w:val="0"/>
              <w:bidi w:val="0"/>
              <w:adjustRightInd w:val="0"/>
              <w:snapToGrid w:val="0"/>
              <w:spacing w:line="286" w:lineRule="auto"/>
              <w:rPr>
                <w:rFonts w:ascii="Times New Roman"/>
                <w:color w:val="000000" w:themeColor="text1"/>
                <w:sz w:val="28"/>
                <w:szCs w:val="28"/>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before="69" w:line="180" w:lineRule="auto"/>
              <w:ind w:firstLine="665"/>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5"/>
                <w:sz w:val="28"/>
                <w:szCs w:val="28"/>
                <w14:textFill>
                  <w14:solidFill>
                    <w14:schemeClr w14:val="tx1"/>
                  </w14:solidFill>
                </w14:textFill>
              </w:rPr>
              <w:t>35</w:t>
            </w:r>
          </w:p>
        </w:tc>
        <w:tc>
          <w:tcPr>
            <w:tcW w:w="1198" w:type="dxa"/>
            <w:vAlign w:val="top"/>
          </w:tcPr>
          <w:p>
            <w:pPr>
              <w:pageBreakBefore w:val="0"/>
              <w:widowControl/>
              <w:kinsoku w:val="0"/>
              <w:wordWrap/>
              <w:overflowPunct/>
              <w:topLinePunct w:val="0"/>
              <w:autoSpaceDE w:val="0"/>
              <w:autoSpaceDN w:val="0"/>
              <w:bidi w:val="0"/>
              <w:adjustRightInd w:val="0"/>
              <w:snapToGrid w:val="0"/>
              <w:spacing w:before="315" w:line="184" w:lineRule="auto"/>
              <w:ind w:firstLine="254"/>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6"/>
                <w:sz w:val="28"/>
                <w:szCs w:val="28"/>
                <w14:textFill>
                  <w14:solidFill>
                    <w14:schemeClr w14:val="tx1"/>
                  </w14:solidFill>
                </w14:textFill>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114" w:line="262" w:lineRule="auto"/>
              <w:ind w:left="123" w:right="106"/>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11"/>
                <w:sz w:val="28"/>
                <w:szCs w:val="28"/>
                <w14:textFill>
                  <w14:solidFill>
                    <w14:schemeClr w14:val="tx1"/>
                  </w14:solidFill>
                </w14:textFill>
              </w:rPr>
              <w:t>（</w:t>
            </w:r>
            <w:r>
              <w:rPr>
                <w:rFonts w:ascii="Times New Roman" w:hAnsi="Times New Roman" w:eastAsia="Times New Roman" w:cs="Times New Roman"/>
                <w:color w:val="000000" w:themeColor="text1"/>
                <w:spacing w:val="11"/>
                <w:sz w:val="28"/>
                <w:szCs w:val="28"/>
                <w14:textFill>
                  <w14:solidFill>
                    <w14:schemeClr w14:val="tx1"/>
                  </w14:solidFill>
                </w14:textFill>
              </w:rPr>
              <w:t>2</w:t>
            </w:r>
            <w:r>
              <w:rPr>
                <w:rFonts w:ascii="宋体" w:hAnsi="宋体" w:eastAsia="宋体" w:cs="宋体"/>
                <w:color w:val="000000" w:themeColor="text1"/>
                <w:spacing w:val="11"/>
                <w:sz w:val="28"/>
                <w:szCs w:val="28"/>
                <w14:textFill>
                  <w14:solidFill>
                    <w14:schemeClr w14:val="tx1"/>
                  </w14:solidFill>
                </w14:textFill>
              </w:rPr>
              <w:t>）地级及以上城市空气质量优良天数比率</w:t>
            </w:r>
            <w:r>
              <w:rPr>
                <w:rFonts w:ascii="宋体" w:hAnsi="宋体" w:eastAsia="宋体" w:cs="宋体"/>
                <w:color w:val="000000" w:themeColor="text1"/>
                <w:spacing w:val="8"/>
                <w:sz w:val="28"/>
                <w:szCs w:val="28"/>
                <w14:textFill>
                  <w14:solidFill>
                    <w14:schemeClr w14:val="tx1"/>
                  </w14:solidFill>
                </w14:textFill>
              </w:rPr>
              <w:t xml:space="preserve"> </w:t>
            </w:r>
            <w:r>
              <w:rPr>
                <w:rFonts w:ascii="宋体" w:hAnsi="宋体" w:eastAsia="宋体" w:cs="宋体"/>
                <w:color w:val="000000" w:themeColor="text1"/>
                <w:spacing w:val="-6"/>
                <w:sz w:val="28"/>
                <w:szCs w:val="28"/>
                <w14:textFill>
                  <w14:solidFill>
                    <w14:schemeClr w14:val="tx1"/>
                  </w14:solidFill>
                </w14:textFill>
              </w:rPr>
              <w:t>（</w:t>
            </w:r>
            <w:r>
              <w:rPr>
                <w:rFonts w:ascii="Times New Roman" w:hAnsi="Times New Roman" w:eastAsia="Times New Roman" w:cs="Times New Roman"/>
                <w:color w:val="000000" w:themeColor="text1"/>
                <w:spacing w:val="-6"/>
                <w:sz w:val="28"/>
                <w:szCs w:val="28"/>
                <w14:textFill>
                  <w14:solidFill>
                    <w14:schemeClr w14:val="tx1"/>
                  </w14:solidFill>
                </w14:textFill>
              </w:rPr>
              <w:t>%</w:t>
            </w:r>
            <w:r>
              <w:rPr>
                <w:rFonts w:ascii="宋体" w:hAnsi="宋体" w:eastAsia="宋体" w:cs="宋体"/>
                <w:color w:val="000000" w:themeColor="text1"/>
                <w:spacing w:val="-6"/>
                <w:sz w:val="28"/>
                <w:szCs w:val="28"/>
                <w14:textFill>
                  <w14:solidFill>
                    <w14:schemeClr w14:val="tx1"/>
                  </w14:solidFill>
                </w14:textFill>
              </w:rPr>
              <w:t>）</w:t>
            </w:r>
          </w:p>
        </w:tc>
        <w:tc>
          <w:tcPr>
            <w:tcW w:w="1054" w:type="dxa"/>
            <w:vAlign w:val="top"/>
          </w:tcPr>
          <w:p>
            <w:pPr>
              <w:pageBreakBefore w:val="0"/>
              <w:widowControl/>
              <w:kinsoku w:val="0"/>
              <w:wordWrap/>
              <w:overflowPunct/>
              <w:topLinePunct w:val="0"/>
              <w:autoSpaceDE w:val="0"/>
              <w:autoSpaceDN w:val="0"/>
              <w:bidi w:val="0"/>
              <w:adjustRightInd w:val="0"/>
              <w:snapToGrid w:val="0"/>
              <w:spacing w:line="285" w:lineRule="auto"/>
              <w:rPr>
                <w:rFonts w:ascii="Times New Roman"/>
                <w:color w:val="000000" w:themeColor="text1"/>
                <w:sz w:val="28"/>
                <w:szCs w:val="28"/>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before="69" w:line="180" w:lineRule="auto"/>
              <w:ind w:firstLine="330"/>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2"/>
                <w:sz w:val="28"/>
                <w:szCs w:val="28"/>
                <w14:textFill>
                  <w14:solidFill>
                    <w14:schemeClr w14:val="tx1"/>
                  </w14:solidFill>
                </w14:textFill>
              </w:rPr>
              <w:t>82.9</w:t>
            </w:r>
          </w:p>
        </w:tc>
        <w:tc>
          <w:tcPr>
            <w:tcW w:w="1552" w:type="dxa"/>
            <w:vAlign w:val="top"/>
          </w:tcPr>
          <w:p>
            <w:pPr>
              <w:pageBreakBefore w:val="0"/>
              <w:widowControl/>
              <w:kinsoku w:val="0"/>
              <w:wordWrap/>
              <w:overflowPunct/>
              <w:topLinePunct w:val="0"/>
              <w:autoSpaceDE w:val="0"/>
              <w:autoSpaceDN w:val="0"/>
              <w:bidi w:val="0"/>
              <w:adjustRightInd w:val="0"/>
              <w:snapToGrid w:val="0"/>
              <w:spacing w:line="285" w:lineRule="auto"/>
              <w:rPr>
                <w:rFonts w:ascii="Times New Roman"/>
                <w:color w:val="000000" w:themeColor="text1"/>
                <w:sz w:val="28"/>
                <w:szCs w:val="28"/>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before="69" w:line="180" w:lineRule="auto"/>
              <w:ind w:firstLine="581"/>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2"/>
                <w:sz w:val="28"/>
                <w:szCs w:val="28"/>
                <w14:textFill>
                  <w14:solidFill>
                    <w14:schemeClr w14:val="tx1"/>
                  </w14:solidFill>
                </w14:textFill>
              </w:rPr>
              <w:t>83.3</w:t>
            </w:r>
          </w:p>
        </w:tc>
        <w:tc>
          <w:tcPr>
            <w:tcW w:w="1198" w:type="dxa"/>
            <w:vAlign w:val="top"/>
          </w:tcPr>
          <w:p>
            <w:pPr>
              <w:pageBreakBefore w:val="0"/>
              <w:widowControl/>
              <w:kinsoku w:val="0"/>
              <w:wordWrap/>
              <w:overflowPunct/>
              <w:topLinePunct w:val="0"/>
              <w:autoSpaceDE w:val="0"/>
              <w:autoSpaceDN w:val="0"/>
              <w:bidi w:val="0"/>
              <w:adjustRightInd w:val="0"/>
              <w:snapToGrid w:val="0"/>
              <w:spacing w:before="317" w:line="184" w:lineRule="auto"/>
              <w:ind w:firstLine="254"/>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6"/>
                <w:sz w:val="28"/>
                <w:szCs w:val="28"/>
                <w14:textFill>
                  <w14:solidFill>
                    <w14:schemeClr w14:val="tx1"/>
                  </w14:solidFill>
                </w14:textFill>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74" w:line="323" w:lineRule="exact"/>
              <w:ind w:firstLine="12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2"/>
                <w:position w:val="1"/>
                <w:sz w:val="28"/>
                <w:szCs w:val="28"/>
                <w14:textFill>
                  <w14:solidFill>
                    <w14:schemeClr w14:val="tx1"/>
                  </w14:solidFill>
                </w14:textFill>
              </w:rPr>
              <w:t>（</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3</w:t>
            </w:r>
            <w:r>
              <w:rPr>
                <w:rFonts w:ascii="宋体" w:hAnsi="宋体" w:eastAsia="宋体" w:cs="宋体"/>
                <w:color w:val="000000" w:themeColor="text1"/>
                <w:spacing w:val="-2"/>
                <w:position w:val="1"/>
                <w:sz w:val="28"/>
                <w:szCs w:val="28"/>
                <w14:textFill>
                  <w14:solidFill>
                    <w14:schemeClr w14:val="tx1"/>
                  </w14:solidFill>
                </w14:textFill>
              </w:rPr>
              <w:t>）地表水达到或好于</w:t>
            </w:r>
            <w:r>
              <w:rPr>
                <w:rFonts w:ascii="宋体" w:hAnsi="宋体" w:eastAsia="宋体" w:cs="宋体"/>
                <w:color w:val="000000" w:themeColor="text1"/>
                <w:spacing w:val="-43"/>
                <w:position w:val="1"/>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III</w:t>
            </w:r>
            <w:r>
              <w:rPr>
                <w:rFonts w:ascii="Times New Roman" w:hAnsi="Times New Roman" w:eastAsia="Times New Roman" w:cs="Times New Roman"/>
                <w:color w:val="000000" w:themeColor="text1"/>
                <w:spacing w:val="11"/>
                <w:position w:val="1"/>
                <w:sz w:val="28"/>
                <w:szCs w:val="28"/>
                <w14:textFill>
                  <w14:solidFill>
                    <w14:schemeClr w14:val="tx1"/>
                  </w14:solidFill>
                </w14:textFill>
              </w:rPr>
              <w:t xml:space="preserve"> </w:t>
            </w:r>
            <w:r>
              <w:rPr>
                <w:rFonts w:ascii="宋体" w:hAnsi="宋体" w:eastAsia="宋体" w:cs="宋体"/>
                <w:color w:val="000000" w:themeColor="text1"/>
                <w:spacing w:val="-2"/>
                <w:position w:val="1"/>
                <w:sz w:val="28"/>
                <w:szCs w:val="28"/>
                <w14:textFill>
                  <w14:solidFill>
                    <w14:schemeClr w14:val="tx1"/>
                  </w14:solidFill>
                </w14:textFill>
              </w:rPr>
              <w:t>类水体比例（</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w:t>
            </w:r>
            <w:r>
              <w:rPr>
                <w:rFonts w:ascii="宋体" w:hAnsi="宋体" w:eastAsia="宋体" w:cs="宋体"/>
                <w:color w:val="000000" w:themeColor="text1"/>
                <w:spacing w:val="-2"/>
                <w:position w:val="1"/>
                <w:sz w:val="28"/>
                <w:szCs w:val="28"/>
                <w14:textFill>
                  <w14:solidFill>
                    <w14:schemeClr w14:val="tx1"/>
                  </w14:solidFill>
                </w14:textFill>
              </w:rPr>
              <w:t>）</w:t>
            </w:r>
          </w:p>
        </w:tc>
        <w:tc>
          <w:tcPr>
            <w:tcW w:w="1054" w:type="dxa"/>
            <w:vAlign w:val="top"/>
          </w:tcPr>
          <w:p>
            <w:pPr>
              <w:pageBreakBefore w:val="0"/>
              <w:widowControl/>
              <w:kinsoku w:val="0"/>
              <w:wordWrap/>
              <w:overflowPunct/>
              <w:topLinePunct w:val="0"/>
              <w:autoSpaceDE w:val="0"/>
              <w:autoSpaceDN w:val="0"/>
              <w:bidi w:val="0"/>
              <w:adjustRightInd w:val="0"/>
              <w:snapToGrid w:val="0"/>
              <w:spacing w:before="159" w:line="180" w:lineRule="auto"/>
              <w:ind w:firstLine="324"/>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78.8</w:t>
            </w:r>
          </w:p>
        </w:tc>
        <w:tc>
          <w:tcPr>
            <w:tcW w:w="1552" w:type="dxa"/>
            <w:vAlign w:val="top"/>
          </w:tcPr>
          <w:p>
            <w:pPr>
              <w:pageBreakBefore w:val="0"/>
              <w:widowControl/>
              <w:kinsoku w:val="0"/>
              <w:wordWrap/>
              <w:overflowPunct/>
              <w:topLinePunct w:val="0"/>
              <w:autoSpaceDE w:val="0"/>
              <w:autoSpaceDN w:val="0"/>
              <w:bidi w:val="0"/>
              <w:adjustRightInd w:val="0"/>
              <w:snapToGrid w:val="0"/>
              <w:spacing w:before="159" w:line="180" w:lineRule="auto"/>
              <w:ind w:firstLine="670"/>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8"/>
                <w:sz w:val="28"/>
                <w:szCs w:val="28"/>
                <w14:textFill>
                  <w14:solidFill>
                    <w14:schemeClr w14:val="tx1"/>
                  </w14:solidFill>
                </w14:textFill>
              </w:rPr>
              <w:t>83</w:t>
            </w:r>
          </w:p>
        </w:tc>
        <w:tc>
          <w:tcPr>
            <w:tcW w:w="1198" w:type="dxa"/>
            <w:vAlign w:val="top"/>
          </w:tcPr>
          <w:p>
            <w:pPr>
              <w:pageBreakBefore w:val="0"/>
              <w:widowControl/>
              <w:kinsoku w:val="0"/>
              <w:wordWrap/>
              <w:overflowPunct/>
              <w:topLinePunct w:val="0"/>
              <w:autoSpaceDE w:val="0"/>
              <w:autoSpaceDN w:val="0"/>
              <w:bidi w:val="0"/>
              <w:adjustRightInd w:val="0"/>
              <w:snapToGrid w:val="0"/>
              <w:spacing w:before="118" w:line="184" w:lineRule="auto"/>
              <w:ind w:firstLine="254"/>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6"/>
                <w:sz w:val="28"/>
                <w:szCs w:val="28"/>
                <w14:textFill>
                  <w14:solidFill>
                    <w14:schemeClr w14:val="tx1"/>
                  </w14:solidFill>
                </w14:textFill>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72" w:line="323" w:lineRule="exact"/>
              <w:ind w:firstLine="12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2"/>
                <w:position w:val="1"/>
                <w:sz w:val="28"/>
                <w:szCs w:val="28"/>
                <w14:textFill>
                  <w14:solidFill>
                    <w14:schemeClr w14:val="tx1"/>
                  </w14:solidFill>
                </w14:textFill>
              </w:rPr>
              <w:t>（</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4</w:t>
            </w:r>
            <w:r>
              <w:rPr>
                <w:rFonts w:ascii="宋体" w:hAnsi="宋体" w:eastAsia="宋体" w:cs="宋体"/>
                <w:color w:val="000000" w:themeColor="text1"/>
                <w:spacing w:val="-2"/>
                <w:position w:val="1"/>
                <w:sz w:val="28"/>
                <w:szCs w:val="28"/>
                <w14:textFill>
                  <w14:solidFill>
                    <w14:schemeClr w14:val="tx1"/>
                  </w14:solidFill>
                </w14:textFill>
              </w:rPr>
              <w:t>）地表水劣</w:t>
            </w:r>
            <w:r>
              <w:rPr>
                <w:rFonts w:ascii="宋体" w:hAnsi="宋体" w:eastAsia="宋体" w:cs="宋体"/>
                <w:color w:val="000000" w:themeColor="text1"/>
                <w:spacing w:val="-54"/>
                <w:position w:val="1"/>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V</w:t>
            </w:r>
            <w:r>
              <w:rPr>
                <w:rFonts w:ascii="Times New Roman" w:hAnsi="Times New Roman" w:eastAsia="Times New Roman" w:cs="Times New Roman"/>
                <w:color w:val="000000" w:themeColor="text1"/>
                <w:spacing w:val="9"/>
                <w:w w:val="101"/>
                <w:position w:val="1"/>
                <w:sz w:val="28"/>
                <w:szCs w:val="28"/>
                <w14:textFill>
                  <w14:solidFill>
                    <w14:schemeClr w14:val="tx1"/>
                  </w14:solidFill>
                </w14:textFill>
              </w:rPr>
              <w:t xml:space="preserve"> </w:t>
            </w:r>
            <w:r>
              <w:rPr>
                <w:rFonts w:ascii="宋体" w:hAnsi="宋体" w:eastAsia="宋体" w:cs="宋体"/>
                <w:color w:val="000000" w:themeColor="text1"/>
                <w:spacing w:val="-2"/>
                <w:position w:val="1"/>
                <w:sz w:val="28"/>
                <w:szCs w:val="28"/>
                <w14:textFill>
                  <w14:solidFill>
                    <w14:schemeClr w14:val="tx1"/>
                  </w14:solidFill>
                </w14:textFill>
              </w:rPr>
              <w:t>类水体比例（</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w:t>
            </w:r>
            <w:r>
              <w:rPr>
                <w:rFonts w:ascii="宋体" w:hAnsi="宋体" w:eastAsia="宋体" w:cs="宋体"/>
                <w:color w:val="000000" w:themeColor="text1"/>
                <w:spacing w:val="-2"/>
                <w:position w:val="1"/>
                <w:sz w:val="28"/>
                <w:szCs w:val="28"/>
                <w14:textFill>
                  <w14:solidFill>
                    <w14:schemeClr w14:val="tx1"/>
                  </w14:solidFill>
                </w14:textFill>
              </w:rPr>
              <w:t>）</w:t>
            </w:r>
          </w:p>
        </w:tc>
        <w:tc>
          <w:tcPr>
            <w:tcW w:w="1054" w:type="dxa"/>
            <w:vAlign w:val="top"/>
          </w:tcPr>
          <w:p>
            <w:pPr>
              <w:pageBreakBefore w:val="0"/>
              <w:widowControl/>
              <w:kinsoku w:val="0"/>
              <w:wordWrap/>
              <w:overflowPunct/>
              <w:topLinePunct w:val="0"/>
              <w:autoSpaceDE w:val="0"/>
              <w:autoSpaceDN w:val="0"/>
              <w:bidi w:val="0"/>
              <w:adjustRightInd w:val="0"/>
              <w:snapToGrid w:val="0"/>
              <w:spacing w:before="157" w:line="180" w:lineRule="auto"/>
              <w:ind w:firstLine="473"/>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0</w:t>
            </w:r>
          </w:p>
        </w:tc>
        <w:tc>
          <w:tcPr>
            <w:tcW w:w="1552" w:type="dxa"/>
            <w:vAlign w:val="top"/>
          </w:tcPr>
          <w:p>
            <w:pPr>
              <w:pageBreakBefore w:val="0"/>
              <w:widowControl/>
              <w:kinsoku w:val="0"/>
              <w:wordWrap/>
              <w:overflowPunct/>
              <w:topLinePunct w:val="0"/>
              <w:autoSpaceDE w:val="0"/>
              <w:autoSpaceDN w:val="0"/>
              <w:bidi w:val="0"/>
              <w:adjustRightInd w:val="0"/>
              <w:snapToGrid w:val="0"/>
              <w:spacing w:before="157" w:line="180" w:lineRule="auto"/>
              <w:ind w:firstLine="724"/>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0</w:t>
            </w:r>
          </w:p>
        </w:tc>
        <w:tc>
          <w:tcPr>
            <w:tcW w:w="1198" w:type="dxa"/>
            <w:vAlign w:val="top"/>
          </w:tcPr>
          <w:p>
            <w:pPr>
              <w:pageBreakBefore w:val="0"/>
              <w:widowControl/>
              <w:kinsoku w:val="0"/>
              <w:wordWrap/>
              <w:overflowPunct/>
              <w:topLinePunct w:val="0"/>
              <w:autoSpaceDE w:val="0"/>
              <w:autoSpaceDN w:val="0"/>
              <w:bidi w:val="0"/>
              <w:adjustRightInd w:val="0"/>
              <w:snapToGrid w:val="0"/>
              <w:spacing w:before="118" w:line="184" w:lineRule="auto"/>
              <w:ind w:firstLine="254"/>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6"/>
                <w:sz w:val="28"/>
                <w:szCs w:val="28"/>
                <w14:textFill>
                  <w14:solidFill>
                    <w14:schemeClr w14:val="tx1"/>
                  </w14:solidFill>
                </w14:textFill>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73" w:line="322" w:lineRule="exact"/>
              <w:ind w:firstLine="12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2"/>
                <w:position w:val="1"/>
                <w:sz w:val="28"/>
                <w:szCs w:val="28"/>
                <w14:textFill>
                  <w14:solidFill>
                    <w14:schemeClr w14:val="tx1"/>
                  </w14:solidFill>
                </w14:textFill>
              </w:rPr>
              <w:t>（</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5</w:t>
            </w:r>
            <w:r>
              <w:rPr>
                <w:rFonts w:ascii="宋体" w:hAnsi="宋体" w:eastAsia="宋体" w:cs="宋体"/>
                <w:color w:val="000000" w:themeColor="text1"/>
                <w:spacing w:val="-2"/>
                <w:position w:val="1"/>
                <w:sz w:val="28"/>
                <w:szCs w:val="28"/>
                <w14:textFill>
                  <w14:solidFill>
                    <w14:schemeClr w14:val="tx1"/>
                  </w14:solidFill>
                </w14:textFill>
              </w:rPr>
              <w:t>）城市黑臭水体比例（</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w:t>
            </w:r>
            <w:r>
              <w:rPr>
                <w:rFonts w:ascii="宋体" w:hAnsi="宋体" w:eastAsia="宋体" w:cs="宋体"/>
                <w:color w:val="000000" w:themeColor="text1"/>
                <w:spacing w:val="-2"/>
                <w:position w:val="1"/>
                <w:sz w:val="28"/>
                <w:szCs w:val="28"/>
                <w14:textFill>
                  <w14:solidFill>
                    <w14:schemeClr w14:val="tx1"/>
                  </w14:solidFill>
                </w14:textFill>
              </w:rPr>
              <w:t>）</w:t>
            </w:r>
          </w:p>
        </w:tc>
        <w:tc>
          <w:tcPr>
            <w:tcW w:w="1054" w:type="dxa"/>
            <w:vAlign w:val="top"/>
          </w:tcPr>
          <w:p>
            <w:pPr>
              <w:pageBreakBefore w:val="0"/>
              <w:widowControl/>
              <w:kinsoku w:val="0"/>
              <w:wordWrap/>
              <w:overflowPunct/>
              <w:topLinePunct w:val="0"/>
              <w:autoSpaceDE w:val="0"/>
              <w:autoSpaceDN w:val="0"/>
              <w:bidi w:val="0"/>
              <w:adjustRightInd w:val="0"/>
              <w:snapToGrid w:val="0"/>
              <w:spacing w:before="259" w:line="135" w:lineRule="exact"/>
              <w:ind w:firstLine="404"/>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4"/>
                <w:sz w:val="28"/>
                <w:szCs w:val="28"/>
                <w14:textFill>
                  <w14:solidFill>
                    <w14:schemeClr w14:val="tx1"/>
                  </w14:solidFill>
                </w14:textFill>
              </w:rPr>
              <w:t>—</w:t>
            </w:r>
          </w:p>
        </w:tc>
        <w:tc>
          <w:tcPr>
            <w:tcW w:w="1552" w:type="dxa"/>
            <w:vAlign w:val="top"/>
          </w:tcPr>
          <w:p>
            <w:pPr>
              <w:pageBreakBefore w:val="0"/>
              <w:widowControl/>
              <w:kinsoku w:val="0"/>
              <w:wordWrap/>
              <w:overflowPunct/>
              <w:topLinePunct w:val="0"/>
              <w:autoSpaceDE w:val="0"/>
              <w:autoSpaceDN w:val="0"/>
              <w:bidi w:val="0"/>
              <w:adjustRightInd w:val="0"/>
              <w:snapToGrid w:val="0"/>
              <w:spacing w:before="119" w:line="184" w:lineRule="auto"/>
              <w:ind w:firstLine="328"/>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9"/>
                <w:sz w:val="28"/>
                <w:szCs w:val="28"/>
                <w14:textFill>
                  <w14:solidFill>
                    <w14:schemeClr w14:val="tx1"/>
                  </w14:solidFill>
                </w14:textFill>
              </w:rPr>
              <w:t>国家下达</w:t>
            </w:r>
          </w:p>
        </w:tc>
        <w:tc>
          <w:tcPr>
            <w:tcW w:w="1198" w:type="dxa"/>
            <w:vAlign w:val="top"/>
          </w:tcPr>
          <w:p>
            <w:pPr>
              <w:pageBreakBefore w:val="0"/>
              <w:widowControl/>
              <w:kinsoku w:val="0"/>
              <w:wordWrap/>
              <w:overflowPunct/>
              <w:topLinePunct w:val="0"/>
              <w:autoSpaceDE w:val="0"/>
              <w:autoSpaceDN w:val="0"/>
              <w:bidi w:val="0"/>
              <w:adjustRightInd w:val="0"/>
              <w:snapToGrid w:val="0"/>
              <w:spacing w:before="119" w:line="184" w:lineRule="auto"/>
              <w:ind w:firstLine="25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4"/>
                <w:sz w:val="28"/>
                <w:szCs w:val="28"/>
                <w14:textFill>
                  <w14:solidFill>
                    <w14:schemeClr w14:val="tx1"/>
                  </w14:solidFill>
                </w14:textFill>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73" w:line="323" w:lineRule="exact"/>
              <w:ind w:firstLine="12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2"/>
                <w:position w:val="1"/>
                <w:sz w:val="28"/>
                <w:szCs w:val="28"/>
                <w14:textFill>
                  <w14:solidFill>
                    <w14:schemeClr w14:val="tx1"/>
                  </w14:solidFill>
                </w14:textFill>
              </w:rPr>
              <w:t>（</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6</w:t>
            </w:r>
            <w:r>
              <w:rPr>
                <w:rFonts w:ascii="宋体" w:hAnsi="宋体" w:eastAsia="宋体" w:cs="宋体"/>
                <w:color w:val="000000" w:themeColor="text1"/>
                <w:spacing w:val="-2"/>
                <w:position w:val="1"/>
                <w:sz w:val="28"/>
                <w:szCs w:val="28"/>
                <w14:textFill>
                  <w14:solidFill>
                    <w14:schemeClr w14:val="tx1"/>
                  </w14:solidFill>
                </w14:textFill>
              </w:rPr>
              <w:t>）地下水质量</w:t>
            </w:r>
            <w:r>
              <w:rPr>
                <w:rFonts w:ascii="宋体" w:hAnsi="宋体" w:eastAsia="宋体" w:cs="宋体"/>
                <w:color w:val="000000" w:themeColor="text1"/>
                <w:spacing w:val="-54"/>
                <w:position w:val="1"/>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V</w:t>
            </w:r>
            <w:r>
              <w:rPr>
                <w:rFonts w:ascii="Times New Roman" w:hAnsi="Times New Roman" w:eastAsia="Times New Roman" w:cs="Times New Roman"/>
                <w:color w:val="000000" w:themeColor="text1"/>
                <w:spacing w:val="9"/>
                <w:w w:val="101"/>
                <w:position w:val="1"/>
                <w:sz w:val="28"/>
                <w:szCs w:val="28"/>
                <w14:textFill>
                  <w14:solidFill>
                    <w14:schemeClr w14:val="tx1"/>
                  </w14:solidFill>
                </w14:textFill>
              </w:rPr>
              <w:t xml:space="preserve"> </w:t>
            </w:r>
            <w:r>
              <w:rPr>
                <w:rFonts w:ascii="宋体" w:hAnsi="宋体" w:eastAsia="宋体" w:cs="宋体"/>
                <w:color w:val="000000" w:themeColor="text1"/>
                <w:spacing w:val="-2"/>
                <w:position w:val="1"/>
                <w:sz w:val="28"/>
                <w:szCs w:val="28"/>
                <w14:textFill>
                  <w14:solidFill>
                    <w14:schemeClr w14:val="tx1"/>
                  </w14:solidFill>
                </w14:textFill>
              </w:rPr>
              <w:t>类水比例（</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w:t>
            </w:r>
            <w:r>
              <w:rPr>
                <w:rFonts w:ascii="宋体" w:hAnsi="宋体" w:eastAsia="宋体" w:cs="宋体"/>
                <w:color w:val="000000" w:themeColor="text1"/>
                <w:spacing w:val="-2"/>
                <w:position w:val="1"/>
                <w:sz w:val="28"/>
                <w:szCs w:val="28"/>
                <w14:textFill>
                  <w14:solidFill>
                    <w14:schemeClr w14:val="tx1"/>
                  </w14:solidFill>
                </w14:textFill>
              </w:rPr>
              <w:t>）</w:t>
            </w:r>
          </w:p>
        </w:tc>
        <w:tc>
          <w:tcPr>
            <w:tcW w:w="1054" w:type="dxa"/>
            <w:vAlign w:val="top"/>
          </w:tcPr>
          <w:p>
            <w:pPr>
              <w:pageBreakBefore w:val="0"/>
              <w:widowControl/>
              <w:kinsoku w:val="0"/>
              <w:wordWrap/>
              <w:overflowPunct/>
              <w:topLinePunct w:val="0"/>
              <w:autoSpaceDE w:val="0"/>
              <w:autoSpaceDN w:val="0"/>
              <w:bidi w:val="0"/>
              <w:adjustRightInd w:val="0"/>
              <w:snapToGrid w:val="0"/>
              <w:spacing w:before="158" w:line="180" w:lineRule="auto"/>
              <w:ind w:firstLine="320"/>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2"/>
                <w:sz w:val="28"/>
                <w:szCs w:val="28"/>
                <w14:textFill>
                  <w14:solidFill>
                    <w14:schemeClr w14:val="tx1"/>
                  </w14:solidFill>
                </w14:textFill>
              </w:rPr>
              <w:t>29.4</w:t>
            </w:r>
          </w:p>
        </w:tc>
        <w:tc>
          <w:tcPr>
            <w:tcW w:w="1552" w:type="dxa"/>
            <w:vAlign w:val="top"/>
          </w:tcPr>
          <w:p>
            <w:pPr>
              <w:pageBreakBefore w:val="0"/>
              <w:widowControl/>
              <w:kinsoku w:val="0"/>
              <w:wordWrap/>
              <w:overflowPunct/>
              <w:topLinePunct w:val="0"/>
              <w:autoSpaceDE w:val="0"/>
              <w:autoSpaceDN w:val="0"/>
              <w:bidi w:val="0"/>
              <w:adjustRightInd w:val="0"/>
              <w:snapToGrid w:val="0"/>
              <w:spacing w:before="117" w:line="184" w:lineRule="auto"/>
              <w:ind w:firstLine="328"/>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9"/>
                <w:sz w:val="28"/>
                <w:szCs w:val="28"/>
                <w14:textFill>
                  <w14:solidFill>
                    <w14:schemeClr w14:val="tx1"/>
                  </w14:solidFill>
                </w14:textFill>
              </w:rPr>
              <w:t>国家下达</w:t>
            </w:r>
          </w:p>
        </w:tc>
        <w:tc>
          <w:tcPr>
            <w:tcW w:w="1198" w:type="dxa"/>
            <w:vAlign w:val="top"/>
          </w:tcPr>
          <w:p>
            <w:pPr>
              <w:pageBreakBefore w:val="0"/>
              <w:widowControl/>
              <w:kinsoku w:val="0"/>
              <w:wordWrap/>
              <w:overflowPunct/>
              <w:topLinePunct w:val="0"/>
              <w:autoSpaceDE w:val="0"/>
              <w:autoSpaceDN w:val="0"/>
              <w:bidi w:val="0"/>
              <w:adjustRightInd w:val="0"/>
              <w:snapToGrid w:val="0"/>
              <w:spacing w:before="117" w:line="184" w:lineRule="auto"/>
              <w:ind w:firstLine="25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4"/>
                <w:sz w:val="28"/>
                <w:szCs w:val="28"/>
                <w14:textFill>
                  <w14:solidFill>
                    <w14:schemeClr w14:val="tx1"/>
                  </w14:solidFill>
                </w14:textFill>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73" w:line="323" w:lineRule="exact"/>
              <w:ind w:firstLine="12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2"/>
                <w:position w:val="1"/>
                <w:sz w:val="28"/>
                <w:szCs w:val="28"/>
                <w14:textFill>
                  <w14:solidFill>
                    <w14:schemeClr w14:val="tx1"/>
                  </w14:solidFill>
                </w14:textFill>
              </w:rPr>
              <w:t>（</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7</w:t>
            </w:r>
            <w:r>
              <w:rPr>
                <w:rFonts w:ascii="宋体" w:hAnsi="宋体" w:eastAsia="宋体" w:cs="宋体"/>
                <w:color w:val="000000" w:themeColor="text1"/>
                <w:spacing w:val="-2"/>
                <w:position w:val="1"/>
                <w:sz w:val="28"/>
                <w:szCs w:val="28"/>
                <w14:textFill>
                  <w14:solidFill>
                    <w14:schemeClr w14:val="tx1"/>
                  </w14:solidFill>
                </w14:textFill>
              </w:rPr>
              <w:t>）农村生活污水治理率（</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w:t>
            </w:r>
            <w:r>
              <w:rPr>
                <w:rFonts w:ascii="宋体" w:hAnsi="宋体" w:eastAsia="宋体" w:cs="宋体"/>
                <w:color w:val="000000" w:themeColor="text1"/>
                <w:spacing w:val="-2"/>
                <w:position w:val="1"/>
                <w:sz w:val="28"/>
                <w:szCs w:val="28"/>
                <w14:textFill>
                  <w14:solidFill>
                    <w14:schemeClr w14:val="tx1"/>
                  </w14:solidFill>
                </w14:textFill>
              </w:rPr>
              <w:t>）</w:t>
            </w:r>
          </w:p>
        </w:tc>
        <w:tc>
          <w:tcPr>
            <w:tcW w:w="1054" w:type="dxa"/>
            <w:vAlign w:val="top"/>
          </w:tcPr>
          <w:p>
            <w:pPr>
              <w:pageBreakBefore w:val="0"/>
              <w:widowControl/>
              <w:kinsoku w:val="0"/>
              <w:wordWrap/>
              <w:overflowPunct/>
              <w:topLinePunct w:val="0"/>
              <w:autoSpaceDE w:val="0"/>
              <w:autoSpaceDN w:val="0"/>
              <w:bidi w:val="0"/>
              <w:adjustRightInd w:val="0"/>
              <w:snapToGrid w:val="0"/>
              <w:spacing w:before="158" w:line="180" w:lineRule="auto"/>
              <w:ind w:firstLine="343"/>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6"/>
                <w:sz w:val="28"/>
                <w:szCs w:val="28"/>
                <w14:textFill>
                  <w14:solidFill>
                    <w14:schemeClr w14:val="tx1"/>
                  </w14:solidFill>
                </w14:textFill>
              </w:rPr>
              <w:t>13.6</w:t>
            </w:r>
          </w:p>
        </w:tc>
        <w:tc>
          <w:tcPr>
            <w:tcW w:w="1552" w:type="dxa"/>
            <w:vAlign w:val="top"/>
          </w:tcPr>
          <w:p>
            <w:pPr>
              <w:pageBreakBefore w:val="0"/>
              <w:widowControl/>
              <w:kinsoku w:val="0"/>
              <w:wordWrap/>
              <w:overflowPunct/>
              <w:topLinePunct w:val="0"/>
              <w:autoSpaceDE w:val="0"/>
              <w:autoSpaceDN w:val="0"/>
              <w:bidi w:val="0"/>
              <w:adjustRightInd w:val="0"/>
              <w:snapToGrid w:val="0"/>
              <w:spacing w:before="159" w:line="180" w:lineRule="auto"/>
              <w:ind w:firstLine="665"/>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5"/>
                <w:sz w:val="28"/>
                <w:szCs w:val="28"/>
                <w14:textFill>
                  <w14:solidFill>
                    <w14:schemeClr w14:val="tx1"/>
                  </w14:solidFill>
                </w14:textFill>
              </w:rPr>
              <w:t>30</w:t>
            </w:r>
          </w:p>
        </w:tc>
        <w:tc>
          <w:tcPr>
            <w:tcW w:w="1198" w:type="dxa"/>
            <w:vAlign w:val="top"/>
          </w:tcPr>
          <w:p>
            <w:pPr>
              <w:pageBreakBefore w:val="0"/>
              <w:widowControl/>
              <w:kinsoku w:val="0"/>
              <w:wordWrap/>
              <w:overflowPunct/>
              <w:topLinePunct w:val="0"/>
              <w:autoSpaceDE w:val="0"/>
              <w:autoSpaceDN w:val="0"/>
              <w:bidi w:val="0"/>
              <w:adjustRightInd w:val="0"/>
              <w:snapToGrid w:val="0"/>
              <w:spacing w:before="117" w:line="184" w:lineRule="auto"/>
              <w:ind w:firstLine="25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4"/>
                <w:sz w:val="28"/>
                <w:szCs w:val="28"/>
                <w14:textFill>
                  <w14:solidFill>
                    <w14:schemeClr w14:val="tx1"/>
                  </w14:solidFill>
                </w14:textFill>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396" w:type="dxa"/>
            <w:vMerge w:val="restart"/>
            <w:tcBorders>
              <w:bottom w:val="nil"/>
            </w:tcBorders>
            <w:vAlign w:val="top"/>
          </w:tcPr>
          <w:p>
            <w:pPr>
              <w:pageBreakBefore w:val="0"/>
              <w:widowControl/>
              <w:kinsoku w:val="0"/>
              <w:wordWrap/>
              <w:overflowPunct/>
              <w:topLinePunct w:val="0"/>
              <w:autoSpaceDE w:val="0"/>
              <w:autoSpaceDN w:val="0"/>
              <w:bidi w:val="0"/>
              <w:adjustRightInd w:val="0"/>
              <w:snapToGrid w:val="0"/>
              <w:spacing w:line="452" w:lineRule="auto"/>
              <w:rPr>
                <w:rFonts w:ascii="Times New Roman"/>
                <w:color w:val="000000" w:themeColor="text1"/>
                <w:sz w:val="28"/>
                <w:szCs w:val="28"/>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before="78" w:line="308" w:lineRule="auto"/>
              <w:ind w:left="126" w:right="106" w:hanging="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12"/>
                <w:sz w:val="28"/>
                <w:szCs w:val="28"/>
                <w14:textFill>
                  <w14:solidFill>
                    <w14:schemeClr w14:val="tx1"/>
                  </w14:solidFill>
                </w14:textFill>
              </w:rPr>
              <w:t>（</w:t>
            </w:r>
            <w:r>
              <w:rPr>
                <w:rFonts w:ascii="Times New Roman" w:hAnsi="Times New Roman" w:eastAsia="Times New Roman" w:cs="Times New Roman"/>
                <w:color w:val="000000" w:themeColor="text1"/>
                <w:spacing w:val="-12"/>
                <w:sz w:val="28"/>
                <w:szCs w:val="28"/>
                <w14:textFill>
                  <w14:solidFill>
                    <w14:schemeClr w14:val="tx1"/>
                  </w14:solidFill>
                </w14:textFill>
              </w:rPr>
              <w:t>8</w:t>
            </w:r>
            <w:r>
              <w:rPr>
                <w:rFonts w:ascii="宋体" w:hAnsi="宋体" w:eastAsia="宋体" w:cs="宋体"/>
                <w:color w:val="000000" w:themeColor="text1"/>
                <w:spacing w:val="-12"/>
                <w:sz w:val="28"/>
                <w:szCs w:val="28"/>
                <w14:textFill>
                  <w14:solidFill>
                    <w14:schemeClr w14:val="tx1"/>
                  </w14:solidFill>
                </w14:textFill>
              </w:rPr>
              <w:t>）主要污染物重点</w:t>
            </w:r>
            <w:r>
              <w:rPr>
                <w:rFonts w:ascii="宋体" w:hAnsi="宋体" w:eastAsia="宋体" w:cs="宋体"/>
                <w:color w:val="000000" w:themeColor="text1"/>
                <w:sz w:val="28"/>
                <w:szCs w:val="28"/>
                <w14:textFill>
                  <w14:solidFill>
                    <w14:schemeClr w14:val="tx1"/>
                  </w14:solidFill>
                </w14:textFill>
              </w:rPr>
              <w:t xml:space="preserve"> </w:t>
            </w:r>
            <w:r>
              <w:rPr>
                <w:rFonts w:ascii="宋体" w:hAnsi="宋体" w:eastAsia="宋体" w:cs="宋体"/>
                <w:color w:val="000000" w:themeColor="text1"/>
                <w:spacing w:val="-2"/>
                <w:sz w:val="28"/>
                <w:szCs w:val="28"/>
                <w14:textFill>
                  <w14:solidFill>
                    <w14:schemeClr w14:val="tx1"/>
                  </w14:solidFill>
                </w14:textFill>
              </w:rPr>
              <w:t>工程减排量（万吨）</w:t>
            </w:r>
          </w:p>
        </w:tc>
        <w:tc>
          <w:tcPr>
            <w:tcW w:w="2748" w:type="dxa"/>
            <w:vAlign w:val="top"/>
          </w:tcPr>
          <w:p>
            <w:pPr>
              <w:pageBreakBefore w:val="0"/>
              <w:widowControl/>
              <w:kinsoku w:val="0"/>
              <w:wordWrap/>
              <w:overflowPunct/>
              <w:topLinePunct w:val="0"/>
              <w:autoSpaceDE w:val="0"/>
              <w:autoSpaceDN w:val="0"/>
              <w:bidi w:val="0"/>
              <w:adjustRightInd w:val="0"/>
              <w:snapToGrid w:val="0"/>
              <w:spacing w:before="117" w:line="184" w:lineRule="auto"/>
              <w:ind w:firstLine="781"/>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3"/>
                <w:sz w:val="28"/>
                <w:szCs w:val="28"/>
                <w14:textFill>
                  <w14:solidFill>
                    <w14:schemeClr w14:val="tx1"/>
                  </w14:solidFill>
                </w14:textFill>
              </w:rPr>
              <w:t>化学需氧量</w:t>
            </w:r>
          </w:p>
        </w:tc>
        <w:tc>
          <w:tcPr>
            <w:tcW w:w="1054" w:type="dxa"/>
            <w:vMerge w:val="restart"/>
            <w:tcBorders>
              <w:bottom w:val="nil"/>
            </w:tcBorders>
            <w:vAlign w:val="top"/>
          </w:tcPr>
          <w:p>
            <w:pPr>
              <w:pageBreakBefore w:val="0"/>
              <w:widowControl/>
              <w:kinsoku w:val="0"/>
              <w:wordWrap/>
              <w:overflowPunct/>
              <w:topLinePunct w:val="0"/>
              <w:autoSpaceDE w:val="0"/>
              <w:autoSpaceDN w:val="0"/>
              <w:bidi w:val="0"/>
              <w:adjustRightInd w:val="0"/>
              <w:snapToGrid w:val="0"/>
              <w:spacing w:line="267" w:lineRule="auto"/>
              <w:rPr>
                <w:rFonts w:ascii="Times New Roman"/>
                <w:color w:val="000000" w:themeColor="text1"/>
                <w:sz w:val="28"/>
                <w:szCs w:val="28"/>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267" w:lineRule="auto"/>
              <w:rPr>
                <w:rFonts w:ascii="Times New Roman"/>
                <w:color w:val="000000" w:themeColor="text1"/>
                <w:sz w:val="28"/>
                <w:szCs w:val="28"/>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267" w:lineRule="auto"/>
              <w:rPr>
                <w:rFonts w:ascii="Times New Roman"/>
                <w:color w:val="000000" w:themeColor="text1"/>
                <w:sz w:val="28"/>
                <w:szCs w:val="28"/>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before="69" w:line="135" w:lineRule="exact"/>
              <w:ind w:firstLine="404"/>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4"/>
                <w:sz w:val="28"/>
                <w:szCs w:val="28"/>
                <w14:textFill>
                  <w14:solidFill>
                    <w14:schemeClr w14:val="tx1"/>
                  </w14:solidFill>
                </w14:textFill>
              </w:rPr>
              <w:t>—</w:t>
            </w:r>
          </w:p>
        </w:tc>
        <w:tc>
          <w:tcPr>
            <w:tcW w:w="1552" w:type="dxa"/>
            <w:vAlign w:val="top"/>
          </w:tcPr>
          <w:p>
            <w:pPr>
              <w:pageBreakBefore w:val="0"/>
              <w:widowControl/>
              <w:kinsoku w:val="0"/>
              <w:wordWrap/>
              <w:overflowPunct/>
              <w:topLinePunct w:val="0"/>
              <w:autoSpaceDE w:val="0"/>
              <w:autoSpaceDN w:val="0"/>
              <w:bidi w:val="0"/>
              <w:adjustRightInd w:val="0"/>
              <w:snapToGrid w:val="0"/>
              <w:spacing w:before="117" w:line="184" w:lineRule="auto"/>
              <w:ind w:firstLine="265"/>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9"/>
                <w:sz w:val="28"/>
                <w:szCs w:val="28"/>
                <w14:textFill>
                  <w14:solidFill>
                    <w14:schemeClr w14:val="tx1"/>
                  </w14:solidFill>
                </w14:textFill>
              </w:rPr>
              <w:t>【</w:t>
            </w:r>
            <w:r>
              <w:rPr>
                <w:rFonts w:ascii="宋体" w:hAnsi="宋体" w:eastAsia="宋体" w:cs="宋体"/>
                <w:color w:val="000000" w:themeColor="text1"/>
                <w:spacing w:val="-57"/>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9"/>
                <w:sz w:val="28"/>
                <w:szCs w:val="28"/>
                <w14:textFill>
                  <w14:solidFill>
                    <w14:schemeClr w14:val="tx1"/>
                  </w14:solidFill>
                </w14:textFill>
              </w:rPr>
              <w:t>13.67</w:t>
            </w:r>
            <w:r>
              <w:rPr>
                <w:rFonts w:ascii="宋体" w:hAnsi="宋体" w:eastAsia="宋体" w:cs="宋体"/>
                <w:color w:val="000000" w:themeColor="text1"/>
                <w:spacing w:val="-9"/>
                <w:sz w:val="28"/>
                <w:szCs w:val="28"/>
                <w14:textFill>
                  <w14:solidFill>
                    <w14:schemeClr w14:val="tx1"/>
                  </w14:solidFill>
                </w14:textFill>
              </w:rPr>
              <w:t>】</w:t>
            </w:r>
          </w:p>
        </w:tc>
        <w:tc>
          <w:tcPr>
            <w:tcW w:w="1198" w:type="dxa"/>
            <w:vMerge w:val="restart"/>
            <w:tcBorders>
              <w:bottom w:val="nil"/>
            </w:tcBorders>
            <w:vAlign w:val="top"/>
          </w:tcPr>
          <w:p>
            <w:pPr>
              <w:pageBreakBefore w:val="0"/>
              <w:widowControl/>
              <w:kinsoku w:val="0"/>
              <w:wordWrap/>
              <w:overflowPunct/>
              <w:topLinePunct w:val="0"/>
              <w:autoSpaceDE w:val="0"/>
              <w:autoSpaceDN w:val="0"/>
              <w:bidi w:val="0"/>
              <w:adjustRightInd w:val="0"/>
              <w:snapToGrid w:val="0"/>
              <w:spacing w:line="325" w:lineRule="auto"/>
              <w:rPr>
                <w:rFonts w:ascii="Times New Roman"/>
                <w:color w:val="000000" w:themeColor="text1"/>
                <w:sz w:val="28"/>
                <w:szCs w:val="28"/>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325" w:lineRule="auto"/>
              <w:rPr>
                <w:rFonts w:ascii="Times New Roman"/>
                <w:color w:val="000000" w:themeColor="text1"/>
                <w:sz w:val="28"/>
                <w:szCs w:val="28"/>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before="78" w:line="184" w:lineRule="auto"/>
              <w:ind w:firstLine="254"/>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6"/>
                <w:sz w:val="28"/>
                <w:szCs w:val="28"/>
                <w14:textFill>
                  <w14:solidFill>
                    <w14:schemeClr w14:val="tx1"/>
                  </w14:solidFill>
                </w14:textFill>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396" w:type="dxa"/>
            <w:vMerge w:val="continue"/>
            <w:tcBorders>
              <w:top w:val="nil"/>
              <w:bottom w:val="nil"/>
            </w:tcBorders>
            <w:vAlign w:val="top"/>
          </w:tcPr>
          <w:p>
            <w:pPr>
              <w:pageBreakBefore w:val="0"/>
              <w:widowControl/>
              <w:kinsoku w:val="0"/>
              <w:wordWrap/>
              <w:overflowPunct/>
              <w:topLinePunct w:val="0"/>
              <w:autoSpaceDE w:val="0"/>
              <w:autoSpaceDN w:val="0"/>
              <w:bidi w:val="0"/>
              <w:adjustRightInd w:val="0"/>
              <w:snapToGrid w:val="0"/>
              <w:rPr>
                <w:rFonts w:ascii="Times New Roman"/>
                <w:color w:val="000000" w:themeColor="text1"/>
                <w:sz w:val="28"/>
                <w:szCs w:val="28"/>
                <w14:textFill>
                  <w14:solidFill>
                    <w14:schemeClr w14:val="tx1"/>
                  </w14:solidFill>
                </w14:textFill>
              </w:rPr>
            </w:pPr>
          </w:p>
        </w:tc>
        <w:tc>
          <w:tcPr>
            <w:tcW w:w="2748" w:type="dxa"/>
            <w:vAlign w:val="top"/>
          </w:tcPr>
          <w:p>
            <w:pPr>
              <w:pageBreakBefore w:val="0"/>
              <w:widowControl/>
              <w:kinsoku w:val="0"/>
              <w:wordWrap/>
              <w:overflowPunct/>
              <w:topLinePunct w:val="0"/>
              <w:autoSpaceDE w:val="0"/>
              <w:autoSpaceDN w:val="0"/>
              <w:bidi w:val="0"/>
              <w:adjustRightInd w:val="0"/>
              <w:snapToGrid w:val="0"/>
              <w:spacing w:before="118" w:line="184" w:lineRule="auto"/>
              <w:ind w:firstLine="114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5"/>
                <w:sz w:val="28"/>
                <w:szCs w:val="28"/>
                <w14:textFill>
                  <w14:solidFill>
                    <w14:schemeClr w14:val="tx1"/>
                  </w14:solidFill>
                </w14:textFill>
              </w:rPr>
              <w:t>氨氮</w:t>
            </w:r>
          </w:p>
        </w:tc>
        <w:tc>
          <w:tcPr>
            <w:tcW w:w="1054" w:type="dxa"/>
            <w:vMerge w:val="continue"/>
            <w:tcBorders>
              <w:top w:val="nil"/>
              <w:bottom w:val="nil"/>
            </w:tcBorders>
            <w:vAlign w:val="top"/>
          </w:tcPr>
          <w:p>
            <w:pPr>
              <w:pageBreakBefore w:val="0"/>
              <w:widowControl/>
              <w:kinsoku w:val="0"/>
              <w:wordWrap/>
              <w:overflowPunct/>
              <w:topLinePunct w:val="0"/>
              <w:autoSpaceDE w:val="0"/>
              <w:autoSpaceDN w:val="0"/>
              <w:bidi w:val="0"/>
              <w:adjustRightInd w:val="0"/>
              <w:snapToGrid w:val="0"/>
              <w:rPr>
                <w:rFonts w:ascii="Times New Roman"/>
                <w:color w:val="000000" w:themeColor="text1"/>
                <w:sz w:val="28"/>
                <w:szCs w:val="28"/>
                <w14:textFill>
                  <w14:solidFill>
                    <w14:schemeClr w14:val="tx1"/>
                  </w14:solidFill>
                </w14:textFill>
              </w:rPr>
            </w:pPr>
          </w:p>
        </w:tc>
        <w:tc>
          <w:tcPr>
            <w:tcW w:w="1552" w:type="dxa"/>
            <w:vAlign w:val="top"/>
          </w:tcPr>
          <w:p>
            <w:pPr>
              <w:pageBreakBefore w:val="0"/>
              <w:widowControl/>
              <w:kinsoku w:val="0"/>
              <w:wordWrap/>
              <w:overflowPunct/>
              <w:topLinePunct w:val="0"/>
              <w:autoSpaceDE w:val="0"/>
              <w:autoSpaceDN w:val="0"/>
              <w:bidi w:val="0"/>
              <w:adjustRightInd w:val="0"/>
              <w:snapToGrid w:val="0"/>
              <w:spacing w:before="118" w:line="184" w:lineRule="auto"/>
              <w:ind w:firstLine="325"/>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w:t>
            </w:r>
            <w:r>
              <w:rPr>
                <w:rFonts w:ascii="Times New Roman" w:hAnsi="Times New Roman" w:eastAsia="Times New Roman" w:cs="Times New Roman"/>
                <w:color w:val="000000" w:themeColor="text1"/>
                <w:sz w:val="28"/>
                <w:szCs w:val="28"/>
                <w14:textFill>
                  <w14:solidFill>
                    <w14:schemeClr w14:val="tx1"/>
                  </w14:solidFill>
                </w14:textFill>
              </w:rPr>
              <w:t>0.69</w:t>
            </w:r>
            <w:r>
              <w:rPr>
                <w:rFonts w:ascii="宋体" w:hAnsi="宋体" w:eastAsia="宋体" w:cs="宋体"/>
                <w:color w:val="000000" w:themeColor="text1"/>
                <w:sz w:val="28"/>
                <w:szCs w:val="28"/>
                <w14:textFill>
                  <w14:solidFill>
                    <w14:schemeClr w14:val="tx1"/>
                  </w14:solidFill>
                </w14:textFill>
              </w:rPr>
              <w:t>】</w:t>
            </w:r>
          </w:p>
        </w:tc>
        <w:tc>
          <w:tcPr>
            <w:tcW w:w="1198" w:type="dxa"/>
            <w:vMerge w:val="continue"/>
            <w:tcBorders>
              <w:top w:val="nil"/>
              <w:bottom w:val="nil"/>
            </w:tcBorders>
            <w:vAlign w:val="top"/>
          </w:tcPr>
          <w:p>
            <w:pPr>
              <w:pageBreakBefore w:val="0"/>
              <w:widowControl/>
              <w:kinsoku w:val="0"/>
              <w:wordWrap/>
              <w:overflowPunct/>
              <w:topLinePunct w:val="0"/>
              <w:autoSpaceDE w:val="0"/>
              <w:autoSpaceDN w:val="0"/>
              <w:bidi w:val="0"/>
              <w:adjustRightInd w:val="0"/>
              <w:snapToGrid w:val="0"/>
              <w:rPr>
                <w:rFonts w:ascii="Times New Roman"/>
                <w:color w:val="000000" w:themeColor="text1"/>
                <w:sz w:val="28"/>
                <w:szCs w:val="28"/>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396" w:type="dxa"/>
            <w:vMerge w:val="continue"/>
            <w:tcBorders>
              <w:top w:val="nil"/>
              <w:bottom w:val="nil"/>
            </w:tcBorders>
            <w:vAlign w:val="top"/>
          </w:tcPr>
          <w:p>
            <w:pPr>
              <w:pageBreakBefore w:val="0"/>
              <w:widowControl/>
              <w:kinsoku w:val="0"/>
              <w:wordWrap/>
              <w:overflowPunct/>
              <w:topLinePunct w:val="0"/>
              <w:autoSpaceDE w:val="0"/>
              <w:autoSpaceDN w:val="0"/>
              <w:bidi w:val="0"/>
              <w:adjustRightInd w:val="0"/>
              <w:snapToGrid w:val="0"/>
              <w:rPr>
                <w:rFonts w:ascii="Times New Roman"/>
                <w:color w:val="000000" w:themeColor="text1"/>
                <w:sz w:val="28"/>
                <w:szCs w:val="28"/>
                <w14:textFill>
                  <w14:solidFill>
                    <w14:schemeClr w14:val="tx1"/>
                  </w14:solidFill>
                </w14:textFill>
              </w:rPr>
            </w:pPr>
          </w:p>
        </w:tc>
        <w:tc>
          <w:tcPr>
            <w:tcW w:w="2748" w:type="dxa"/>
            <w:vAlign w:val="top"/>
          </w:tcPr>
          <w:p>
            <w:pPr>
              <w:pageBreakBefore w:val="0"/>
              <w:widowControl/>
              <w:kinsoku w:val="0"/>
              <w:wordWrap/>
              <w:overflowPunct/>
              <w:topLinePunct w:val="0"/>
              <w:autoSpaceDE w:val="0"/>
              <w:autoSpaceDN w:val="0"/>
              <w:bidi w:val="0"/>
              <w:adjustRightInd w:val="0"/>
              <w:snapToGrid w:val="0"/>
              <w:spacing w:before="118" w:line="184" w:lineRule="auto"/>
              <w:ind w:firstLine="899"/>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2"/>
                <w:sz w:val="28"/>
                <w:szCs w:val="28"/>
                <w14:textFill>
                  <w14:solidFill>
                    <w14:schemeClr w14:val="tx1"/>
                  </w14:solidFill>
                </w14:textFill>
              </w:rPr>
              <w:t>氮氧化物</w:t>
            </w:r>
          </w:p>
        </w:tc>
        <w:tc>
          <w:tcPr>
            <w:tcW w:w="1054" w:type="dxa"/>
            <w:vMerge w:val="continue"/>
            <w:tcBorders>
              <w:top w:val="nil"/>
              <w:bottom w:val="nil"/>
            </w:tcBorders>
            <w:vAlign w:val="top"/>
          </w:tcPr>
          <w:p>
            <w:pPr>
              <w:pageBreakBefore w:val="0"/>
              <w:widowControl/>
              <w:kinsoku w:val="0"/>
              <w:wordWrap/>
              <w:overflowPunct/>
              <w:topLinePunct w:val="0"/>
              <w:autoSpaceDE w:val="0"/>
              <w:autoSpaceDN w:val="0"/>
              <w:bidi w:val="0"/>
              <w:adjustRightInd w:val="0"/>
              <w:snapToGrid w:val="0"/>
              <w:rPr>
                <w:rFonts w:ascii="Times New Roman"/>
                <w:color w:val="000000" w:themeColor="text1"/>
                <w:sz w:val="28"/>
                <w:szCs w:val="28"/>
                <w14:textFill>
                  <w14:solidFill>
                    <w14:schemeClr w14:val="tx1"/>
                  </w14:solidFill>
                </w14:textFill>
              </w:rPr>
            </w:pPr>
          </w:p>
        </w:tc>
        <w:tc>
          <w:tcPr>
            <w:tcW w:w="1552" w:type="dxa"/>
            <w:vAlign w:val="top"/>
          </w:tcPr>
          <w:p>
            <w:pPr>
              <w:pageBreakBefore w:val="0"/>
              <w:widowControl/>
              <w:kinsoku w:val="0"/>
              <w:wordWrap/>
              <w:overflowPunct/>
              <w:topLinePunct w:val="0"/>
              <w:autoSpaceDE w:val="0"/>
              <w:autoSpaceDN w:val="0"/>
              <w:bidi w:val="0"/>
              <w:adjustRightInd w:val="0"/>
              <w:snapToGrid w:val="0"/>
              <w:spacing w:before="118" w:line="184" w:lineRule="auto"/>
              <w:ind w:firstLine="385"/>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10"/>
                <w:sz w:val="28"/>
                <w:szCs w:val="28"/>
                <w14:textFill>
                  <w14:solidFill>
                    <w14:schemeClr w14:val="tx1"/>
                  </w14:solidFill>
                </w14:textFill>
              </w:rPr>
              <w:t>【</w:t>
            </w:r>
            <w:r>
              <w:rPr>
                <w:rFonts w:ascii="宋体" w:hAnsi="宋体" w:eastAsia="宋体" w:cs="宋体"/>
                <w:color w:val="000000" w:themeColor="text1"/>
                <w:spacing w:val="-71"/>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10"/>
                <w:sz w:val="28"/>
                <w:szCs w:val="28"/>
                <w14:textFill>
                  <w14:solidFill>
                    <w14:schemeClr w14:val="tx1"/>
                  </w14:solidFill>
                </w14:textFill>
              </w:rPr>
              <w:t>8.3</w:t>
            </w:r>
            <w:r>
              <w:rPr>
                <w:rFonts w:ascii="Times New Roman" w:hAnsi="Times New Roman" w:eastAsia="Times New Roman" w:cs="Times New Roman"/>
                <w:color w:val="000000" w:themeColor="text1"/>
                <w:spacing w:val="-25"/>
                <w:sz w:val="28"/>
                <w:szCs w:val="28"/>
                <w14:textFill>
                  <w14:solidFill>
                    <w14:schemeClr w14:val="tx1"/>
                  </w14:solidFill>
                </w14:textFill>
              </w:rPr>
              <w:t xml:space="preserve"> </w:t>
            </w:r>
            <w:r>
              <w:rPr>
                <w:rFonts w:ascii="宋体" w:hAnsi="宋体" w:eastAsia="宋体" w:cs="宋体"/>
                <w:color w:val="000000" w:themeColor="text1"/>
                <w:spacing w:val="-10"/>
                <w:sz w:val="28"/>
                <w:szCs w:val="28"/>
                <w14:textFill>
                  <w14:solidFill>
                    <w14:schemeClr w14:val="tx1"/>
                  </w14:solidFill>
                </w14:textFill>
              </w:rPr>
              <w:t>】</w:t>
            </w:r>
          </w:p>
        </w:tc>
        <w:tc>
          <w:tcPr>
            <w:tcW w:w="1198" w:type="dxa"/>
            <w:vMerge w:val="continue"/>
            <w:tcBorders>
              <w:top w:val="nil"/>
              <w:bottom w:val="nil"/>
            </w:tcBorders>
            <w:vAlign w:val="top"/>
          </w:tcPr>
          <w:p>
            <w:pPr>
              <w:pageBreakBefore w:val="0"/>
              <w:widowControl/>
              <w:kinsoku w:val="0"/>
              <w:wordWrap/>
              <w:overflowPunct/>
              <w:topLinePunct w:val="0"/>
              <w:autoSpaceDE w:val="0"/>
              <w:autoSpaceDN w:val="0"/>
              <w:bidi w:val="0"/>
              <w:adjustRightInd w:val="0"/>
              <w:snapToGrid w:val="0"/>
              <w:rPr>
                <w:rFonts w:ascii="Times New Roman"/>
                <w:color w:val="000000" w:themeColor="text1"/>
                <w:sz w:val="28"/>
                <w:szCs w:val="28"/>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396" w:type="dxa"/>
            <w:vMerge w:val="continue"/>
            <w:tcBorders>
              <w:top w:val="nil"/>
            </w:tcBorders>
            <w:vAlign w:val="top"/>
          </w:tcPr>
          <w:p>
            <w:pPr>
              <w:pageBreakBefore w:val="0"/>
              <w:widowControl/>
              <w:kinsoku w:val="0"/>
              <w:wordWrap/>
              <w:overflowPunct/>
              <w:topLinePunct w:val="0"/>
              <w:autoSpaceDE w:val="0"/>
              <w:autoSpaceDN w:val="0"/>
              <w:bidi w:val="0"/>
              <w:adjustRightInd w:val="0"/>
              <w:snapToGrid w:val="0"/>
              <w:rPr>
                <w:rFonts w:ascii="Times New Roman"/>
                <w:color w:val="000000" w:themeColor="text1"/>
                <w:sz w:val="28"/>
                <w:szCs w:val="28"/>
                <w14:textFill>
                  <w14:solidFill>
                    <w14:schemeClr w14:val="tx1"/>
                  </w14:solidFill>
                </w14:textFill>
              </w:rPr>
            </w:pPr>
          </w:p>
        </w:tc>
        <w:tc>
          <w:tcPr>
            <w:tcW w:w="2748" w:type="dxa"/>
            <w:vAlign w:val="top"/>
          </w:tcPr>
          <w:p>
            <w:pPr>
              <w:pageBreakBefore w:val="0"/>
              <w:widowControl/>
              <w:kinsoku w:val="0"/>
              <w:wordWrap/>
              <w:overflowPunct/>
              <w:topLinePunct w:val="0"/>
              <w:autoSpaceDE w:val="0"/>
              <w:autoSpaceDN w:val="0"/>
              <w:bidi w:val="0"/>
              <w:adjustRightInd w:val="0"/>
              <w:snapToGrid w:val="0"/>
              <w:spacing w:before="119" w:line="184" w:lineRule="auto"/>
              <w:ind w:firstLine="659"/>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2"/>
                <w:sz w:val="28"/>
                <w:szCs w:val="28"/>
                <w14:textFill>
                  <w14:solidFill>
                    <w14:schemeClr w14:val="tx1"/>
                  </w14:solidFill>
                </w14:textFill>
              </w:rPr>
              <w:t>挥发性有机物</w:t>
            </w:r>
          </w:p>
        </w:tc>
        <w:tc>
          <w:tcPr>
            <w:tcW w:w="1054" w:type="dxa"/>
            <w:vMerge w:val="continue"/>
            <w:tcBorders>
              <w:top w:val="nil"/>
            </w:tcBorders>
            <w:vAlign w:val="top"/>
          </w:tcPr>
          <w:p>
            <w:pPr>
              <w:pageBreakBefore w:val="0"/>
              <w:widowControl/>
              <w:kinsoku w:val="0"/>
              <w:wordWrap/>
              <w:overflowPunct/>
              <w:topLinePunct w:val="0"/>
              <w:autoSpaceDE w:val="0"/>
              <w:autoSpaceDN w:val="0"/>
              <w:bidi w:val="0"/>
              <w:adjustRightInd w:val="0"/>
              <w:snapToGrid w:val="0"/>
              <w:rPr>
                <w:rFonts w:ascii="Times New Roman"/>
                <w:color w:val="000000" w:themeColor="text1"/>
                <w:sz w:val="28"/>
                <w:szCs w:val="28"/>
                <w14:textFill>
                  <w14:solidFill>
                    <w14:schemeClr w14:val="tx1"/>
                  </w14:solidFill>
                </w14:textFill>
              </w:rPr>
            </w:pPr>
          </w:p>
        </w:tc>
        <w:tc>
          <w:tcPr>
            <w:tcW w:w="1552" w:type="dxa"/>
            <w:vAlign w:val="top"/>
          </w:tcPr>
          <w:p>
            <w:pPr>
              <w:pageBreakBefore w:val="0"/>
              <w:widowControl/>
              <w:kinsoku w:val="0"/>
              <w:wordWrap/>
              <w:overflowPunct/>
              <w:topLinePunct w:val="0"/>
              <w:autoSpaceDE w:val="0"/>
              <w:autoSpaceDN w:val="0"/>
              <w:bidi w:val="0"/>
              <w:adjustRightInd w:val="0"/>
              <w:snapToGrid w:val="0"/>
              <w:spacing w:before="119" w:line="184" w:lineRule="auto"/>
              <w:ind w:firstLine="325"/>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w:t>
            </w:r>
            <w:r>
              <w:rPr>
                <w:rFonts w:ascii="Times New Roman" w:hAnsi="Times New Roman" w:eastAsia="Times New Roman" w:cs="Times New Roman"/>
                <w:color w:val="000000" w:themeColor="text1"/>
                <w:sz w:val="28"/>
                <w:szCs w:val="28"/>
                <w14:textFill>
                  <w14:solidFill>
                    <w14:schemeClr w14:val="tx1"/>
                  </w14:solidFill>
                </w14:textFill>
              </w:rPr>
              <w:t>3.07</w:t>
            </w:r>
            <w:r>
              <w:rPr>
                <w:rFonts w:ascii="宋体" w:hAnsi="宋体" w:eastAsia="宋体" w:cs="宋体"/>
                <w:color w:val="000000" w:themeColor="text1"/>
                <w:sz w:val="28"/>
                <w:szCs w:val="28"/>
                <w14:textFill>
                  <w14:solidFill>
                    <w14:schemeClr w14:val="tx1"/>
                  </w14:solidFill>
                </w14:textFill>
              </w:rPr>
              <w:t>】</w:t>
            </w:r>
          </w:p>
        </w:tc>
        <w:tc>
          <w:tcPr>
            <w:tcW w:w="1198" w:type="dxa"/>
            <w:vMerge w:val="continue"/>
            <w:tcBorders>
              <w:top w:val="nil"/>
            </w:tcBorders>
            <w:vAlign w:val="top"/>
          </w:tcPr>
          <w:p>
            <w:pPr>
              <w:pageBreakBefore w:val="0"/>
              <w:widowControl/>
              <w:kinsoku w:val="0"/>
              <w:wordWrap/>
              <w:overflowPunct/>
              <w:topLinePunct w:val="0"/>
              <w:autoSpaceDE w:val="0"/>
              <w:autoSpaceDN w:val="0"/>
              <w:bidi w:val="0"/>
              <w:adjustRightInd w:val="0"/>
              <w:snapToGrid w:val="0"/>
              <w:rPr>
                <w:rFonts w:ascii="Times New Roman"/>
                <w:color w:val="000000" w:themeColor="text1"/>
                <w:sz w:val="28"/>
                <w:szCs w:val="28"/>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8948" w:type="dxa"/>
            <w:gridSpan w:val="5"/>
            <w:vAlign w:val="top"/>
          </w:tcPr>
          <w:p>
            <w:pPr>
              <w:pageBreakBefore w:val="0"/>
              <w:widowControl/>
              <w:kinsoku w:val="0"/>
              <w:wordWrap/>
              <w:overflowPunct/>
              <w:topLinePunct w:val="0"/>
              <w:autoSpaceDE w:val="0"/>
              <w:autoSpaceDN w:val="0"/>
              <w:bidi w:val="0"/>
              <w:adjustRightInd w:val="0"/>
              <w:snapToGrid w:val="0"/>
              <w:spacing w:before="122" w:line="205" w:lineRule="auto"/>
              <w:ind w:firstLine="96"/>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14"/>
                <w:sz w:val="28"/>
                <w:szCs w:val="28"/>
                <w14:textFill>
                  <w14:solidFill>
                    <w14:schemeClr w14:val="tx1"/>
                  </w14:solidFill>
                </w14:textFill>
              </w:rPr>
              <w:t>（</w:t>
            </w:r>
            <w:r>
              <w:rPr>
                <w:rFonts w:ascii="黑体" w:hAnsi="黑体" w:eastAsia="黑体" w:cs="黑体"/>
                <w:color w:val="000000" w:themeColor="text1"/>
                <w:spacing w:val="-41"/>
                <w:sz w:val="28"/>
                <w:szCs w:val="28"/>
                <w14:textFill>
                  <w14:solidFill>
                    <w14:schemeClr w14:val="tx1"/>
                  </w14:solidFill>
                </w14:textFill>
              </w:rPr>
              <w:t xml:space="preserve"> </w:t>
            </w:r>
            <w:r>
              <w:rPr>
                <w:rFonts w:ascii="黑体" w:hAnsi="黑体" w:eastAsia="黑体" w:cs="黑体"/>
                <w:color w:val="000000" w:themeColor="text1"/>
                <w:spacing w:val="-14"/>
                <w:sz w:val="28"/>
                <w:szCs w:val="28"/>
                <w14:textFill>
                  <w14:solidFill>
                    <w14:schemeClr w14:val="tx1"/>
                  </w14:solidFill>
                </w14:textFill>
              </w:rPr>
              <w:t>二</w:t>
            </w:r>
            <w:r>
              <w:rPr>
                <w:rFonts w:ascii="黑体" w:hAnsi="黑体" w:eastAsia="黑体" w:cs="黑体"/>
                <w:color w:val="000000" w:themeColor="text1"/>
                <w:spacing w:val="-62"/>
                <w:sz w:val="28"/>
                <w:szCs w:val="28"/>
                <w14:textFill>
                  <w14:solidFill>
                    <w14:schemeClr w14:val="tx1"/>
                  </w14:solidFill>
                </w14:textFill>
              </w:rPr>
              <w:t xml:space="preserve"> </w:t>
            </w:r>
            <w:r>
              <w:rPr>
                <w:rFonts w:ascii="黑体" w:hAnsi="黑体" w:eastAsia="黑体" w:cs="黑体"/>
                <w:color w:val="000000" w:themeColor="text1"/>
                <w:spacing w:val="-14"/>
                <w:sz w:val="28"/>
                <w:szCs w:val="28"/>
                <w14:textFill>
                  <w14:solidFill>
                    <w14:schemeClr w14:val="tx1"/>
                  </w14:solidFill>
                </w14:textFill>
              </w:rPr>
              <w:t>）应对气候变化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88" w:line="322" w:lineRule="exact"/>
              <w:ind w:firstLine="12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5"/>
                <w:position w:val="1"/>
                <w:sz w:val="28"/>
                <w:szCs w:val="28"/>
                <w14:textFill>
                  <w14:solidFill>
                    <w14:schemeClr w14:val="tx1"/>
                  </w14:solidFill>
                </w14:textFill>
              </w:rPr>
              <w:t>（</w:t>
            </w:r>
            <w:r>
              <w:rPr>
                <w:rFonts w:ascii="Times New Roman" w:hAnsi="Times New Roman" w:eastAsia="Times New Roman" w:cs="Times New Roman"/>
                <w:color w:val="000000" w:themeColor="text1"/>
                <w:spacing w:val="-5"/>
                <w:position w:val="1"/>
                <w:sz w:val="28"/>
                <w:szCs w:val="28"/>
                <w14:textFill>
                  <w14:solidFill>
                    <w14:schemeClr w14:val="tx1"/>
                  </w14:solidFill>
                </w14:textFill>
              </w:rPr>
              <w:t>9</w:t>
            </w:r>
            <w:r>
              <w:rPr>
                <w:rFonts w:ascii="宋体" w:hAnsi="宋体" w:eastAsia="宋体" w:cs="宋体"/>
                <w:color w:val="000000" w:themeColor="text1"/>
                <w:spacing w:val="-5"/>
                <w:position w:val="1"/>
                <w:sz w:val="28"/>
                <w:szCs w:val="28"/>
                <w14:textFill>
                  <w14:solidFill>
                    <w14:schemeClr w14:val="tx1"/>
                  </w14:solidFill>
                </w14:textFill>
              </w:rPr>
              <w:t>）单位国内生产总值二氧化碳排放降低（</w:t>
            </w:r>
            <w:r>
              <w:rPr>
                <w:rFonts w:ascii="Times New Roman" w:hAnsi="Times New Roman" w:eastAsia="Times New Roman" w:cs="Times New Roman"/>
                <w:color w:val="000000" w:themeColor="text1"/>
                <w:spacing w:val="-5"/>
                <w:position w:val="1"/>
                <w:sz w:val="28"/>
                <w:szCs w:val="28"/>
                <w14:textFill>
                  <w14:solidFill>
                    <w14:schemeClr w14:val="tx1"/>
                  </w14:solidFill>
                </w14:textFill>
              </w:rPr>
              <w:t>%</w:t>
            </w:r>
            <w:r>
              <w:rPr>
                <w:rFonts w:ascii="宋体" w:hAnsi="宋体" w:eastAsia="宋体" w:cs="宋体"/>
                <w:color w:val="000000" w:themeColor="text1"/>
                <w:spacing w:val="-5"/>
                <w:position w:val="1"/>
                <w:sz w:val="28"/>
                <w:szCs w:val="28"/>
                <w14:textFill>
                  <w14:solidFill>
                    <w14:schemeClr w14:val="tx1"/>
                  </w14:solidFill>
                </w14:textFill>
              </w:rPr>
              <w:t>）</w:t>
            </w:r>
          </w:p>
        </w:tc>
        <w:tc>
          <w:tcPr>
            <w:tcW w:w="1054" w:type="dxa"/>
            <w:vAlign w:val="top"/>
          </w:tcPr>
          <w:p>
            <w:pPr>
              <w:pageBreakBefore w:val="0"/>
              <w:widowControl/>
              <w:kinsoku w:val="0"/>
              <w:wordWrap/>
              <w:overflowPunct/>
              <w:topLinePunct w:val="0"/>
              <w:autoSpaceDE w:val="0"/>
              <w:autoSpaceDN w:val="0"/>
              <w:bidi w:val="0"/>
              <w:adjustRightInd w:val="0"/>
              <w:snapToGrid w:val="0"/>
              <w:spacing w:before="274" w:line="135" w:lineRule="exact"/>
              <w:ind w:firstLine="404"/>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4"/>
                <w:sz w:val="28"/>
                <w:szCs w:val="28"/>
                <w14:textFill>
                  <w14:solidFill>
                    <w14:schemeClr w14:val="tx1"/>
                  </w14:solidFill>
                </w14:textFill>
              </w:rPr>
              <w:t>—</w:t>
            </w:r>
          </w:p>
        </w:tc>
        <w:tc>
          <w:tcPr>
            <w:tcW w:w="1552" w:type="dxa"/>
            <w:vAlign w:val="top"/>
          </w:tcPr>
          <w:p>
            <w:pPr>
              <w:pageBreakBefore w:val="0"/>
              <w:widowControl/>
              <w:kinsoku w:val="0"/>
              <w:wordWrap/>
              <w:overflowPunct/>
              <w:topLinePunct w:val="0"/>
              <w:autoSpaceDE w:val="0"/>
              <w:autoSpaceDN w:val="0"/>
              <w:bidi w:val="0"/>
              <w:adjustRightInd w:val="0"/>
              <w:snapToGrid w:val="0"/>
              <w:spacing w:before="134" w:line="184" w:lineRule="auto"/>
              <w:ind w:firstLine="328"/>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9"/>
                <w:sz w:val="28"/>
                <w:szCs w:val="28"/>
                <w14:textFill>
                  <w14:solidFill>
                    <w14:schemeClr w14:val="tx1"/>
                  </w14:solidFill>
                </w14:textFill>
              </w:rPr>
              <w:t>国家下达</w:t>
            </w:r>
          </w:p>
        </w:tc>
        <w:tc>
          <w:tcPr>
            <w:tcW w:w="1198" w:type="dxa"/>
            <w:vAlign w:val="top"/>
          </w:tcPr>
          <w:p>
            <w:pPr>
              <w:pageBreakBefore w:val="0"/>
              <w:widowControl/>
              <w:kinsoku w:val="0"/>
              <w:wordWrap/>
              <w:overflowPunct/>
              <w:topLinePunct w:val="0"/>
              <w:autoSpaceDE w:val="0"/>
              <w:autoSpaceDN w:val="0"/>
              <w:bidi w:val="0"/>
              <w:adjustRightInd w:val="0"/>
              <w:snapToGrid w:val="0"/>
              <w:spacing w:before="134" w:line="184" w:lineRule="auto"/>
              <w:ind w:firstLine="254"/>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6"/>
                <w:sz w:val="28"/>
                <w:szCs w:val="28"/>
                <w14:textFill>
                  <w14:solidFill>
                    <w14:schemeClr w14:val="tx1"/>
                  </w14:solidFill>
                </w14:textFill>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90" w:line="323" w:lineRule="exact"/>
              <w:ind w:firstLine="12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1"/>
                <w:position w:val="1"/>
                <w:sz w:val="28"/>
                <w:szCs w:val="28"/>
                <w14:textFill>
                  <w14:solidFill>
                    <w14:schemeClr w14:val="tx1"/>
                  </w14:solidFill>
                </w14:textFill>
              </w:rPr>
              <w:t>（</w:t>
            </w:r>
            <w:r>
              <w:rPr>
                <w:rFonts w:ascii="Times New Roman" w:hAnsi="Times New Roman" w:eastAsia="Times New Roman" w:cs="Times New Roman"/>
                <w:color w:val="000000" w:themeColor="text1"/>
                <w:spacing w:val="-1"/>
                <w:position w:val="1"/>
                <w:sz w:val="28"/>
                <w:szCs w:val="28"/>
                <w14:textFill>
                  <w14:solidFill>
                    <w14:schemeClr w14:val="tx1"/>
                  </w14:solidFill>
                </w14:textFill>
              </w:rPr>
              <w:t>10</w:t>
            </w:r>
            <w:r>
              <w:rPr>
                <w:rFonts w:ascii="宋体" w:hAnsi="宋体" w:eastAsia="宋体" w:cs="宋体"/>
                <w:color w:val="000000" w:themeColor="text1"/>
                <w:spacing w:val="-1"/>
                <w:position w:val="1"/>
                <w:sz w:val="28"/>
                <w:szCs w:val="28"/>
                <w14:textFill>
                  <w14:solidFill>
                    <w14:schemeClr w14:val="tx1"/>
                  </w14:solidFill>
                </w14:textFill>
              </w:rPr>
              <w:t>）单位国内生产总值能源消耗降低（</w:t>
            </w:r>
            <w:r>
              <w:rPr>
                <w:rFonts w:ascii="Times New Roman" w:hAnsi="Times New Roman" w:eastAsia="Times New Roman" w:cs="Times New Roman"/>
                <w:color w:val="000000" w:themeColor="text1"/>
                <w:spacing w:val="-1"/>
                <w:position w:val="1"/>
                <w:sz w:val="28"/>
                <w:szCs w:val="28"/>
                <w14:textFill>
                  <w14:solidFill>
                    <w14:schemeClr w14:val="tx1"/>
                  </w14:solidFill>
                </w14:textFill>
              </w:rPr>
              <w:t>%</w:t>
            </w:r>
            <w:r>
              <w:rPr>
                <w:rFonts w:ascii="宋体" w:hAnsi="宋体" w:eastAsia="宋体" w:cs="宋体"/>
                <w:color w:val="000000" w:themeColor="text1"/>
                <w:spacing w:val="-1"/>
                <w:position w:val="1"/>
                <w:sz w:val="28"/>
                <w:szCs w:val="28"/>
                <w14:textFill>
                  <w14:solidFill>
                    <w14:schemeClr w14:val="tx1"/>
                  </w14:solidFill>
                </w14:textFill>
              </w:rPr>
              <w:t>）</w:t>
            </w:r>
          </w:p>
        </w:tc>
        <w:tc>
          <w:tcPr>
            <w:tcW w:w="1054" w:type="dxa"/>
            <w:vAlign w:val="top"/>
          </w:tcPr>
          <w:p>
            <w:pPr>
              <w:pageBreakBefore w:val="0"/>
              <w:widowControl/>
              <w:kinsoku w:val="0"/>
              <w:wordWrap/>
              <w:overflowPunct/>
              <w:topLinePunct w:val="0"/>
              <w:autoSpaceDE w:val="0"/>
              <w:autoSpaceDN w:val="0"/>
              <w:bidi w:val="0"/>
              <w:adjustRightInd w:val="0"/>
              <w:snapToGrid w:val="0"/>
              <w:spacing w:before="277" w:line="135" w:lineRule="exact"/>
              <w:ind w:firstLine="404"/>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4"/>
                <w:sz w:val="28"/>
                <w:szCs w:val="28"/>
                <w14:textFill>
                  <w14:solidFill>
                    <w14:schemeClr w14:val="tx1"/>
                  </w14:solidFill>
                </w14:textFill>
              </w:rPr>
              <w:t>—</w:t>
            </w:r>
          </w:p>
        </w:tc>
        <w:tc>
          <w:tcPr>
            <w:tcW w:w="1552" w:type="dxa"/>
            <w:vAlign w:val="top"/>
          </w:tcPr>
          <w:p>
            <w:pPr>
              <w:pageBreakBefore w:val="0"/>
              <w:widowControl/>
              <w:kinsoku w:val="0"/>
              <w:wordWrap/>
              <w:overflowPunct/>
              <w:topLinePunct w:val="0"/>
              <w:autoSpaceDE w:val="0"/>
              <w:autoSpaceDN w:val="0"/>
              <w:bidi w:val="0"/>
              <w:adjustRightInd w:val="0"/>
              <w:snapToGrid w:val="0"/>
              <w:spacing w:before="134" w:line="184" w:lineRule="auto"/>
              <w:ind w:firstLine="328"/>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9"/>
                <w:sz w:val="28"/>
                <w:szCs w:val="28"/>
                <w14:textFill>
                  <w14:solidFill>
                    <w14:schemeClr w14:val="tx1"/>
                  </w14:solidFill>
                </w14:textFill>
              </w:rPr>
              <w:t>国家下达</w:t>
            </w:r>
          </w:p>
        </w:tc>
        <w:tc>
          <w:tcPr>
            <w:tcW w:w="1198" w:type="dxa"/>
            <w:vAlign w:val="top"/>
          </w:tcPr>
          <w:p>
            <w:pPr>
              <w:pageBreakBefore w:val="0"/>
              <w:widowControl/>
              <w:kinsoku w:val="0"/>
              <w:wordWrap/>
              <w:overflowPunct/>
              <w:topLinePunct w:val="0"/>
              <w:autoSpaceDE w:val="0"/>
              <w:autoSpaceDN w:val="0"/>
              <w:bidi w:val="0"/>
              <w:adjustRightInd w:val="0"/>
              <w:snapToGrid w:val="0"/>
              <w:spacing w:before="134" w:line="184" w:lineRule="auto"/>
              <w:ind w:firstLine="254"/>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6"/>
                <w:sz w:val="28"/>
                <w:szCs w:val="28"/>
                <w14:textFill>
                  <w14:solidFill>
                    <w14:schemeClr w14:val="tx1"/>
                  </w14:solidFill>
                </w14:textFill>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89" w:line="323" w:lineRule="exact"/>
              <w:ind w:firstLine="12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2"/>
                <w:position w:val="1"/>
                <w:sz w:val="28"/>
                <w:szCs w:val="28"/>
                <w14:textFill>
                  <w14:solidFill>
                    <w14:schemeClr w14:val="tx1"/>
                  </w14:solidFill>
                </w14:textFill>
              </w:rPr>
              <w:t>（</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11</w:t>
            </w:r>
            <w:r>
              <w:rPr>
                <w:rFonts w:ascii="宋体" w:hAnsi="宋体" w:eastAsia="宋体" w:cs="宋体"/>
                <w:color w:val="000000" w:themeColor="text1"/>
                <w:spacing w:val="-2"/>
                <w:position w:val="1"/>
                <w:sz w:val="28"/>
                <w:szCs w:val="28"/>
                <w14:textFill>
                  <w14:solidFill>
                    <w14:schemeClr w14:val="tx1"/>
                  </w14:solidFill>
                </w14:textFill>
              </w:rPr>
              <w:t>）非化石能源占能源消费总量比重（</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w:t>
            </w:r>
            <w:r>
              <w:rPr>
                <w:rFonts w:ascii="宋体" w:hAnsi="宋体" w:eastAsia="宋体" w:cs="宋体"/>
                <w:color w:val="000000" w:themeColor="text1"/>
                <w:spacing w:val="-2"/>
                <w:position w:val="1"/>
                <w:sz w:val="28"/>
                <w:szCs w:val="28"/>
                <w14:textFill>
                  <w14:solidFill>
                    <w14:schemeClr w14:val="tx1"/>
                  </w14:solidFill>
                </w14:textFill>
              </w:rPr>
              <w:t>）</w:t>
            </w:r>
          </w:p>
        </w:tc>
        <w:tc>
          <w:tcPr>
            <w:tcW w:w="1054" w:type="dxa"/>
            <w:vAlign w:val="top"/>
          </w:tcPr>
          <w:p>
            <w:pPr>
              <w:pageBreakBefore w:val="0"/>
              <w:widowControl/>
              <w:kinsoku w:val="0"/>
              <w:wordWrap/>
              <w:overflowPunct/>
              <w:topLinePunct w:val="0"/>
              <w:autoSpaceDE w:val="0"/>
              <w:autoSpaceDN w:val="0"/>
              <w:bidi w:val="0"/>
              <w:adjustRightInd w:val="0"/>
              <w:snapToGrid w:val="0"/>
              <w:spacing w:before="276" w:line="135" w:lineRule="exact"/>
              <w:ind w:firstLine="404"/>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4"/>
                <w:sz w:val="28"/>
                <w:szCs w:val="28"/>
                <w14:textFill>
                  <w14:solidFill>
                    <w14:schemeClr w14:val="tx1"/>
                  </w14:solidFill>
                </w14:textFill>
              </w:rPr>
              <w:t>—</w:t>
            </w:r>
          </w:p>
        </w:tc>
        <w:tc>
          <w:tcPr>
            <w:tcW w:w="1552" w:type="dxa"/>
            <w:vAlign w:val="top"/>
          </w:tcPr>
          <w:p>
            <w:pPr>
              <w:pageBreakBefore w:val="0"/>
              <w:widowControl/>
              <w:kinsoku w:val="0"/>
              <w:wordWrap/>
              <w:overflowPunct/>
              <w:topLinePunct w:val="0"/>
              <w:autoSpaceDE w:val="0"/>
              <w:autoSpaceDN w:val="0"/>
              <w:bidi w:val="0"/>
              <w:adjustRightInd w:val="0"/>
              <w:snapToGrid w:val="0"/>
              <w:spacing w:before="133" w:line="184" w:lineRule="auto"/>
              <w:ind w:firstLine="328"/>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9"/>
                <w:sz w:val="28"/>
                <w:szCs w:val="28"/>
                <w14:textFill>
                  <w14:solidFill>
                    <w14:schemeClr w14:val="tx1"/>
                  </w14:solidFill>
                </w14:textFill>
              </w:rPr>
              <w:t>国家下达</w:t>
            </w:r>
          </w:p>
        </w:tc>
        <w:tc>
          <w:tcPr>
            <w:tcW w:w="1198" w:type="dxa"/>
            <w:vAlign w:val="top"/>
          </w:tcPr>
          <w:p>
            <w:pPr>
              <w:pageBreakBefore w:val="0"/>
              <w:widowControl/>
              <w:kinsoku w:val="0"/>
              <w:wordWrap/>
              <w:overflowPunct/>
              <w:topLinePunct w:val="0"/>
              <w:autoSpaceDE w:val="0"/>
              <w:autoSpaceDN w:val="0"/>
              <w:bidi w:val="0"/>
              <w:adjustRightInd w:val="0"/>
              <w:snapToGrid w:val="0"/>
              <w:spacing w:before="133" w:line="184" w:lineRule="auto"/>
              <w:ind w:firstLine="25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4"/>
                <w:sz w:val="28"/>
                <w:szCs w:val="28"/>
                <w14:textFill>
                  <w14:solidFill>
                    <w14:schemeClr w14:val="tx1"/>
                  </w14:solidFill>
                </w14:textFill>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8948" w:type="dxa"/>
            <w:gridSpan w:val="5"/>
            <w:vAlign w:val="top"/>
          </w:tcPr>
          <w:p>
            <w:pPr>
              <w:pageBreakBefore w:val="0"/>
              <w:widowControl/>
              <w:kinsoku w:val="0"/>
              <w:wordWrap/>
              <w:overflowPunct/>
              <w:topLinePunct w:val="0"/>
              <w:autoSpaceDE w:val="0"/>
              <w:autoSpaceDN w:val="0"/>
              <w:bidi w:val="0"/>
              <w:adjustRightInd w:val="0"/>
              <w:snapToGrid w:val="0"/>
              <w:spacing w:before="124" w:line="205" w:lineRule="auto"/>
              <w:ind w:firstLine="96"/>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14"/>
                <w:sz w:val="28"/>
                <w:szCs w:val="28"/>
                <w14:textFill>
                  <w14:solidFill>
                    <w14:schemeClr w14:val="tx1"/>
                  </w14:solidFill>
                </w14:textFill>
              </w:rPr>
              <w:t>（</w:t>
            </w:r>
            <w:r>
              <w:rPr>
                <w:rFonts w:ascii="黑体" w:hAnsi="黑体" w:eastAsia="黑体" w:cs="黑体"/>
                <w:color w:val="000000" w:themeColor="text1"/>
                <w:spacing w:val="-41"/>
                <w:sz w:val="28"/>
                <w:szCs w:val="28"/>
                <w14:textFill>
                  <w14:solidFill>
                    <w14:schemeClr w14:val="tx1"/>
                  </w14:solidFill>
                </w14:textFill>
              </w:rPr>
              <w:t xml:space="preserve"> </w:t>
            </w:r>
            <w:r>
              <w:rPr>
                <w:rFonts w:ascii="黑体" w:hAnsi="黑体" w:eastAsia="黑体" w:cs="黑体"/>
                <w:color w:val="000000" w:themeColor="text1"/>
                <w:spacing w:val="-14"/>
                <w:sz w:val="28"/>
                <w:szCs w:val="28"/>
                <w14:textFill>
                  <w14:solidFill>
                    <w14:schemeClr w14:val="tx1"/>
                  </w14:solidFill>
                </w14:textFill>
              </w:rPr>
              <w:t>三</w:t>
            </w:r>
            <w:r>
              <w:rPr>
                <w:rFonts w:ascii="黑体" w:hAnsi="黑体" w:eastAsia="黑体" w:cs="黑体"/>
                <w:color w:val="000000" w:themeColor="text1"/>
                <w:spacing w:val="-62"/>
                <w:sz w:val="28"/>
                <w:szCs w:val="28"/>
                <w14:textFill>
                  <w14:solidFill>
                    <w14:schemeClr w14:val="tx1"/>
                  </w14:solidFill>
                </w14:textFill>
              </w:rPr>
              <w:t xml:space="preserve"> </w:t>
            </w:r>
            <w:r>
              <w:rPr>
                <w:rFonts w:ascii="黑体" w:hAnsi="黑体" w:eastAsia="黑体" w:cs="黑体"/>
                <w:color w:val="000000" w:themeColor="text1"/>
                <w:spacing w:val="-14"/>
                <w:sz w:val="28"/>
                <w:szCs w:val="28"/>
                <w14:textFill>
                  <w14:solidFill>
                    <w14:schemeClr w14:val="tx1"/>
                  </w14:solidFill>
                </w14:textFill>
              </w:rPr>
              <w:t>）环境风险防控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90" w:line="323" w:lineRule="exact"/>
              <w:ind w:firstLine="12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1"/>
                <w:position w:val="1"/>
                <w:sz w:val="28"/>
                <w:szCs w:val="28"/>
                <w14:textFill>
                  <w14:solidFill>
                    <w14:schemeClr w14:val="tx1"/>
                  </w14:solidFill>
                </w14:textFill>
              </w:rPr>
              <w:t>（</w:t>
            </w:r>
            <w:r>
              <w:rPr>
                <w:rFonts w:ascii="Times New Roman" w:hAnsi="Times New Roman" w:eastAsia="Times New Roman" w:cs="Times New Roman"/>
                <w:color w:val="000000" w:themeColor="text1"/>
                <w:spacing w:val="-1"/>
                <w:position w:val="1"/>
                <w:sz w:val="28"/>
                <w:szCs w:val="28"/>
                <w14:textFill>
                  <w14:solidFill>
                    <w14:schemeClr w14:val="tx1"/>
                  </w14:solidFill>
                </w14:textFill>
              </w:rPr>
              <w:t>12</w:t>
            </w:r>
            <w:r>
              <w:rPr>
                <w:rFonts w:ascii="宋体" w:hAnsi="宋体" w:eastAsia="宋体" w:cs="宋体"/>
                <w:color w:val="000000" w:themeColor="text1"/>
                <w:spacing w:val="-1"/>
                <w:position w:val="1"/>
                <w:sz w:val="28"/>
                <w:szCs w:val="28"/>
                <w14:textFill>
                  <w14:solidFill>
                    <w14:schemeClr w14:val="tx1"/>
                  </w14:solidFill>
                </w14:textFill>
              </w:rPr>
              <w:t>）受污染耕地安全利用率（</w:t>
            </w:r>
            <w:r>
              <w:rPr>
                <w:rFonts w:ascii="Times New Roman" w:hAnsi="Times New Roman" w:eastAsia="Times New Roman" w:cs="Times New Roman"/>
                <w:color w:val="000000" w:themeColor="text1"/>
                <w:spacing w:val="-1"/>
                <w:position w:val="1"/>
                <w:sz w:val="28"/>
                <w:szCs w:val="28"/>
                <w14:textFill>
                  <w14:solidFill>
                    <w14:schemeClr w14:val="tx1"/>
                  </w14:solidFill>
                </w14:textFill>
              </w:rPr>
              <w:t>%</w:t>
            </w:r>
            <w:r>
              <w:rPr>
                <w:rFonts w:ascii="宋体" w:hAnsi="宋体" w:eastAsia="宋体" w:cs="宋体"/>
                <w:color w:val="000000" w:themeColor="text1"/>
                <w:spacing w:val="-1"/>
                <w:position w:val="1"/>
                <w:sz w:val="28"/>
                <w:szCs w:val="28"/>
                <w14:textFill>
                  <w14:solidFill>
                    <w14:schemeClr w14:val="tx1"/>
                  </w14:solidFill>
                </w14:textFill>
              </w:rPr>
              <w:t>）</w:t>
            </w:r>
          </w:p>
        </w:tc>
        <w:tc>
          <w:tcPr>
            <w:tcW w:w="1054" w:type="dxa"/>
            <w:vAlign w:val="top"/>
          </w:tcPr>
          <w:p>
            <w:pPr>
              <w:pageBreakBefore w:val="0"/>
              <w:widowControl/>
              <w:kinsoku w:val="0"/>
              <w:wordWrap/>
              <w:overflowPunct/>
              <w:topLinePunct w:val="0"/>
              <w:autoSpaceDE w:val="0"/>
              <w:autoSpaceDN w:val="0"/>
              <w:bidi w:val="0"/>
              <w:adjustRightInd w:val="0"/>
              <w:snapToGrid w:val="0"/>
              <w:spacing w:before="277" w:line="135" w:lineRule="exact"/>
              <w:ind w:firstLine="404"/>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4"/>
                <w:sz w:val="28"/>
                <w:szCs w:val="28"/>
                <w14:textFill>
                  <w14:solidFill>
                    <w14:schemeClr w14:val="tx1"/>
                  </w14:solidFill>
                </w14:textFill>
              </w:rPr>
              <w:t>—</w:t>
            </w:r>
          </w:p>
        </w:tc>
        <w:tc>
          <w:tcPr>
            <w:tcW w:w="1552" w:type="dxa"/>
            <w:vAlign w:val="top"/>
          </w:tcPr>
          <w:p>
            <w:pPr>
              <w:pageBreakBefore w:val="0"/>
              <w:widowControl/>
              <w:kinsoku w:val="0"/>
              <w:wordWrap/>
              <w:overflowPunct/>
              <w:topLinePunct w:val="0"/>
              <w:autoSpaceDE w:val="0"/>
              <w:autoSpaceDN w:val="0"/>
              <w:bidi w:val="0"/>
              <w:adjustRightInd w:val="0"/>
              <w:snapToGrid w:val="0"/>
              <w:spacing w:before="134" w:line="184" w:lineRule="auto"/>
              <w:ind w:firstLine="389"/>
              <w:rPr>
                <w:rFonts w:ascii="宋体" w:hAnsi="宋体" w:eastAsia="宋体" w:cs="宋体"/>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6"/>
                <w:sz w:val="28"/>
                <w:szCs w:val="28"/>
                <w14:textFill>
                  <w14:solidFill>
                    <w14:schemeClr w14:val="tx1"/>
                  </w14:solidFill>
                </w14:textFill>
              </w:rPr>
              <w:t>93</w:t>
            </w:r>
            <w:r>
              <w:rPr>
                <w:rFonts w:ascii="Times New Roman" w:hAnsi="Times New Roman" w:eastAsia="Times New Roman" w:cs="Times New Roman"/>
                <w:color w:val="000000" w:themeColor="text1"/>
                <w:spacing w:val="14"/>
                <w:sz w:val="28"/>
                <w:szCs w:val="28"/>
                <w14:textFill>
                  <w14:solidFill>
                    <w14:schemeClr w14:val="tx1"/>
                  </w14:solidFill>
                </w14:textFill>
              </w:rPr>
              <w:t xml:space="preserve"> </w:t>
            </w:r>
            <w:r>
              <w:rPr>
                <w:rFonts w:ascii="宋体" w:hAnsi="宋体" w:eastAsia="宋体" w:cs="宋体"/>
                <w:color w:val="000000" w:themeColor="text1"/>
                <w:spacing w:val="-6"/>
                <w:sz w:val="28"/>
                <w:szCs w:val="28"/>
                <w14:textFill>
                  <w14:solidFill>
                    <w14:schemeClr w14:val="tx1"/>
                  </w14:solidFill>
                </w14:textFill>
              </w:rPr>
              <w:t>左右</w:t>
            </w:r>
          </w:p>
        </w:tc>
        <w:tc>
          <w:tcPr>
            <w:tcW w:w="1198" w:type="dxa"/>
            <w:vAlign w:val="top"/>
          </w:tcPr>
          <w:p>
            <w:pPr>
              <w:pageBreakBefore w:val="0"/>
              <w:widowControl/>
              <w:kinsoku w:val="0"/>
              <w:wordWrap/>
              <w:overflowPunct/>
              <w:topLinePunct w:val="0"/>
              <w:autoSpaceDE w:val="0"/>
              <w:autoSpaceDN w:val="0"/>
              <w:bidi w:val="0"/>
              <w:adjustRightInd w:val="0"/>
              <w:snapToGrid w:val="0"/>
              <w:spacing w:before="134" w:line="184" w:lineRule="auto"/>
              <w:ind w:firstLine="247"/>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6"/>
                <w:sz w:val="28"/>
                <w:szCs w:val="28"/>
                <w14:textFill>
                  <w14:solidFill>
                    <w14:schemeClr w14:val="tx1"/>
                  </w14:solidFill>
                </w14:textFill>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87" w:line="323" w:lineRule="exact"/>
              <w:ind w:firstLine="12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1"/>
                <w:position w:val="1"/>
                <w:sz w:val="28"/>
                <w:szCs w:val="28"/>
                <w14:textFill>
                  <w14:solidFill>
                    <w14:schemeClr w14:val="tx1"/>
                  </w14:solidFill>
                </w14:textFill>
              </w:rPr>
              <w:t>（</w:t>
            </w:r>
            <w:r>
              <w:rPr>
                <w:rFonts w:ascii="Times New Roman" w:hAnsi="Times New Roman" w:eastAsia="Times New Roman" w:cs="Times New Roman"/>
                <w:color w:val="000000" w:themeColor="text1"/>
                <w:spacing w:val="-1"/>
                <w:position w:val="1"/>
                <w:sz w:val="28"/>
                <w:szCs w:val="28"/>
                <w14:textFill>
                  <w14:solidFill>
                    <w14:schemeClr w14:val="tx1"/>
                  </w14:solidFill>
                </w14:textFill>
              </w:rPr>
              <w:t>13</w:t>
            </w:r>
            <w:r>
              <w:rPr>
                <w:rFonts w:ascii="宋体" w:hAnsi="宋体" w:eastAsia="宋体" w:cs="宋体"/>
                <w:color w:val="000000" w:themeColor="text1"/>
                <w:spacing w:val="-1"/>
                <w:position w:val="1"/>
                <w:sz w:val="28"/>
                <w:szCs w:val="28"/>
                <w14:textFill>
                  <w14:solidFill>
                    <w14:schemeClr w14:val="tx1"/>
                  </w14:solidFill>
                </w14:textFill>
              </w:rPr>
              <w:t>）重点建设用地安全利用率（</w:t>
            </w:r>
            <w:r>
              <w:rPr>
                <w:rFonts w:ascii="Times New Roman" w:hAnsi="Times New Roman" w:eastAsia="Times New Roman" w:cs="Times New Roman"/>
                <w:color w:val="000000" w:themeColor="text1"/>
                <w:spacing w:val="-1"/>
                <w:position w:val="1"/>
                <w:sz w:val="28"/>
                <w:szCs w:val="28"/>
                <w14:textFill>
                  <w14:solidFill>
                    <w14:schemeClr w14:val="tx1"/>
                  </w14:solidFill>
                </w14:textFill>
              </w:rPr>
              <w:t>%</w:t>
            </w:r>
            <w:r>
              <w:rPr>
                <w:rFonts w:ascii="宋体" w:hAnsi="宋体" w:eastAsia="宋体" w:cs="宋体"/>
                <w:color w:val="000000" w:themeColor="text1"/>
                <w:spacing w:val="-1"/>
                <w:position w:val="1"/>
                <w:sz w:val="28"/>
                <w:szCs w:val="28"/>
                <w14:textFill>
                  <w14:solidFill>
                    <w14:schemeClr w14:val="tx1"/>
                  </w14:solidFill>
                </w14:textFill>
              </w:rPr>
              <w:t>）</w:t>
            </w:r>
          </w:p>
        </w:tc>
        <w:tc>
          <w:tcPr>
            <w:tcW w:w="1054" w:type="dxa"/>
            <w:vAlign w:val="top"/>
          </w:tcPr>
          <w:p>
            <w:pPr>
              <w:pageBreakBefore w:val="0"/>
              <w:widowControl/>
              <w:kinsoku w:val="0"/>
              <w:wordWrap/>
              <w:overflowPunct/>
              <w:topLinePunct w:val="0"/>
              <w:autoSpaceDE w:val="0"/>
              <w:autoSpaceDN w:val="0"/>
              <w:bidi w:val="0"/>
              <w:adjustRightInd w:val="0"/>
              <w:snapToGrid w:val="0"/>
              <w:spacing w:before="274" w:line="134" w:lineRule="exact"/>
              <w:ind w:firstLine="404"/>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4"/>
                <w:sz w:val="28"/>
                <w:szCs w:val="28"/>
                <w14:textFill>
                  <w14:solidFill>
                    <w14:schemeClr w14:val="tx1"/>
                  </w14:solidFill>
                </w14:textFill>
              </w:rPr>
              <w:t>—</w:t>
            </w:r>
          </w:p>
        </w:tc>
        <w:tc>
          <w:tcPr>
            <w:tcW w:w="1552" w:type="dxa"/>
            <w:vAlign w:val="top"/>
          </w:tcPr>
          <w:p>
            <w:pPr>
              <w:pageBreakBefore w:val="0"/>
              <w:widowControl/>
              <w:kinsoku w:val="0"/>
              <w:wordWrap/>
              <w:overflowPunct/>
              <w:topLinePunct w:val="0"/>
              <w:autoSpaceDE w:val="0"/>
              <w:autoSpaceDN w:val="0"/>
              <w:bidi w:val="0"/>
              <w:adjustRightInd w:val="0"/>
              <w:snapToGrid w:val="0"/>
              <w:spacing w:before="133" w:line="184" w:lineRule="auto"/>
              <w:ind w:firstLine="301"/>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3"/>
                <w:sz w:val="28"/>
                <w:szCs w:val="28"/>
                <w14:textFill>
                  <w14:solidFill>
                    <w14:schemeClr w14:val="tx1"/>
                  </w14:solidFill>
                </w14:textFill>
              </w:rPr>
              <w:t>有效保障</w:t>
            </w:r>
          </w:p>
        </w:tc>
        <w:tc>
          <w:tcPr>
            <w:tcW w:w="1198" w:type="dxa"/>
            <w:vAlign w:val="top"/>
          </w:tcPr>
          <w:p>
            <w:pPr>
              <w:pageBreakBefore w:val="0"/>
              <w:widowControl/>
              <w:kinsoku w:val="0"/>
              <w:wordWrap/>
              <w:overflowPunct/>
              <w:topLinePunct w:val="0"/>
              <w:autoSpaceDE w:val="0"/>
              <w:autoSpaceDN w:val="0"/>
              <w:bidi w:val="0"/>
              <w:adjustRightInd w:val="0"/>
              <w:snapToGrid w:val="0"/>
              <w:spacing w:before="133" w:line="184" w:lineRule="auto"/>
              <w:ind w:firstLine="247"/>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6"/>
                <w:sz w:val="28"/>
                <w:szCs w:val="28"/>
                <w14:textFill>
                  <w14:solidFill>
                    <w14:schemeClr w14:val="tx1"/>
                  </w14:solidFill>
                </w14:textFill>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91" w:line="322" w:lineRule="exact"/>
              <w:ind w:firstLine="12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1"/>
                <w:position w:val="1"/>
                <w:sz w:val="28"/>
                <w:szCs w:val="28"/>
                <w14:textFill>
                  <w14:solidFill>
                    <w14:schemeClr w14:val="tx1"/>
                  </w14:solidFill>
                </w14:textFill>
              </w:rPr>
              <w:t>（</w:t>
            </w:r>
            <w:r>
              <w:rPr>
                <w:rFonts w:ascii="Times New Roman" w:hAnsi="Times New Roman" w:eastAsia="Times New Roman" w:cs="Times New Roman"/>
                <w:color w:val="000000" w:themeColor="text1"/>
                <w:spacing w:val="-1"/>
                <w:position w:val="1"/>
                <w:sz w:val="28"/>
                <w:szCs w:val="28"/>
                <w14:textFill>
                  <w14:solidFill>
                    <w14:schemeClr w14:val="tx1"/>
                  </w14:solidFill>
                </w14:textFill>
              </w:rPr>
              <w:t>14</w:t>
            </w:r>
            <w:r>
              <w:rPr>
                <w:rFonts w:ascii="宋体" w:hAnsi="宋体" w:eastAsia="宋体" w:cs="宋体"/>
                <w:color w:val="000000" w:themeColor="text1"/>
                <w:spacing w:val="-1"/>
                <w:position w:val="1"/>
                <w:sz w:val="28"/>
                <w:szCs w:val="28"/>
                <w14:textFill>
                  <w14:solidFill>
                    <w14:schemeClr w14:val="tx1"/>
                  </w14:solidFill>
                </w14:textFill>
              </w:rPr>
              <w:t>）放射源辐射事故年发生率（起</w:t>
            </w:r>
            <w:r>
              <w:rPr>
                <w:rFonts w:ascii="Times New Roman" w:hAnsi="Times New Roman" w:eastAsia="Times New Roman" w:cs="Times New Roman"/>
                <w:color w:val="000000" w:themeColor="text1"/>
                <w:spacing w:val="-1"/>
                <w:position w:val="1"/>
                <w:sz w:val="28"/>
                <w:szCs w:val="28"/>
                <w14:textFill>
                  <w14:solidFill>
                    <w14:schemeClr w14:val="tx1"/>
                  </w14:solidFill>
                </w14:textFill>
              </w:rPr>
              <w:t>/</w:t>
            </w:r>
            <w:r>
              <w:rPr>
                <w:rFonts w:ascii="宋体" w:hAnsi="宋体" w:eastAsia="宋体" w:cs="宋体"/>
                <w:color w:val="000000" w:themeColor="text1"/>
                <w:spacing w:val="-1"/>
                <w:position w:val="1"/>
                <w:sz w:val="28"/>
                <w:szCs w:val="28"/>
                <w14:textFill>
                  <w14:solidFill>
                    <w14:schemeClr w14:val="tx1"/>
                  </w14:solidFill>
                </w14:textFill>
              </w:rPr>
              <w:t>万枚）</w:t>
            </w:r>
          </w:p>
        </w:tc>
        <w:tc>
          <w:tcPr>
            <w:tcW w:w="1054" w:type="dxa"/>
            <w:vAlign w:val="top"/>
          </w:tcPr>
          <w:p>
            <w:pPr>
              <w:pageBreakBefore w:val="0"/>
              <w:widowControl/>
              <w:kinsoku w:val="0"/>
              <w:wordWrap/>
              <w:overflowPunct/>
              <w:topLinePunct w:val="0"/>
              <w:autoSpaceDE w:val="0"/>
              <w:autoSpaceDN w:val="0"/>
              <w:bidi w:val="0"/>
              <w:adjustRightInd w:val="0"/>
              <w:snapToGrid w:val="0"/>
              <w:spacing w:before="176" w:line="180" w:lineRule="auto"/>
              <w:ind w:firstLine="473"/>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0</w:t>
            </w:r>
          </w:p>
        </w:tc>
        <w:tc>
          <w:tcPr>
            <w:tcW w:w="1552" w:type="dxa"/>
            <w:vAlign w:val="top"/>
          </w:tcPr>
          <w:p>
            <w:pPr>
              <w:pageBreakBefore w:val="0"/>
              <w:widowControl/>
              <w:kinsoku w:val="0"/>
              <w:wordWrap/>
              <w:overflowPunct/>
              <w:topLinePunct w:val="0"/>
              <w:autoSpaceDE w:val="0"/>
              <w:autoSpaceDN w:val="0"/>
              <w:bidi w:val="0"/>
              <w:adjustRightInd w:val="0"/>
              <w:snapToGrid w:val="0"/>
              <w:spacing w:before="134" w:line="184" w:lineRule="auto"/>
              <w:ind w:firstLine="324"/>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9"/>
                <w:sz w:val="28"/>
                <w:szCs w:val="28"/>
                <w14:textFill>
                  <w14:solidFill>
                    <w14:schemeClr w14:val="tx1"/>
                  </w14:solidFill>
                </w14:textFill>
              </w:rPr>
              <w:t>国家下达</w:t>
            </w:r>
          </w:p>
        </w:tc>
        <w:tc>
          <w:tcPr>
            <w:tcW w:w="1198" w:type="dxa"/>
            <w:vAlign w:val="top"/>
          </w:tcPr>
          <w:p>
            <w:pPr>
              <w:pageBreakBefore w:val="0"/>
              <w:widowControl/>
              <w:kinsoku w:val="0"/>
              <w:wordWrap/>
              <w:overflowPunct/>
              <w:topLinePunct w:val="0"/>
              <w:autoSpaceDE w:val="0"/>
              <w:autoSpaceDN w:val="0"/>
              <w:bidi w:val="0"/>
              <w:adjustRightInd w:val="0"/>
              <w:snapToGrid w:val="0"/>
              <w:spacing w:before="134" w:line="184" w:lineRule="auto"/>
              <w:ind w:firstLine="24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4"/>
                <w:sz w:val="28"/>
                <w:szCs w:val="28"/>
                <w14:textFill>
                  <w14:solidFill>
                    <w14:schemeClr w14:val="tx1"/>
                  </w14:solidFill>
                </w14:textFill>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8948" w:type="dxa"/>
            <w:gridSpan w:val="5"/>
            <w:vAlign w:val="top"/>
          </w:tcPr>
          <w:p>
            <w:pPr>
              <w:pageBreakBefore w:val="0"/>
              <w:widowControl/>
              <w:kinsoku w:val="0"/>
              <w:wordWrap/>
              <w:overflowPunct/>
              <w:topLinePunct w:val="0"/>
              <w:autoSpaceDE w:val="0"/>
              <w:autoSpaceDN w:val="0"/>
              <w:bidi w:val="0"/>
              <w:adjustRightInd w:val="0"/>
              <w:snapToGrid w:val="0"/>
              <w:spacing w:before="125" w:line="205" w:lineRule="auto"/>
              <w:ind w:firstLine="96"/>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19"/>
                <w:sz w:val="28"/>
                <w:szCs w:val="28"/>
                <w14:textFill>
                  <w14:solidFill>
                    <w14:schemeClr w14:val="tx1"/>
                  </w14:solidFill>
                </w14:textFill>
              </w:rPr>
              <w:t>（</w:t>
            </w:r>
            <w:r>
              <w:rPr>
                <w:rFonts w:ascii="黑体" w:hAnsi="黑体" w:eastAsia="黑体" w:cs="黑体"/>
                <w:color w:val="000000" w:themeColor="text1"/>
                <w:spacing w:val="-34"/>
                <w:sz w:val="28"/>
                <w:szCs w:val="28"/>
                <w14:textFill>
                  <w14:solidFill>
                    <w14:schemeClr w14:val="tx1"/>
                  </w14:solidFill>
                </w14:textFill>
              </w:rPr>
              <w:t xml:space="preserve"> </w:t>
            </w:r>
            <w:r>
              <w:rPr>
                <w:rFonts w:ascii="黑体" w:hAnsi="黑体" w:eastAsia="黑体" w:cs="黑体"/>
                <w:color w:val="000000" w:themeColor="text1"/>
                <w:spacing w:val="-19"/>
                <w:sz w:val="28"/>
                <w:szCs w:val="28"/>
                <w14:textFill>
                  <w14:solidFill>
                    <w14:schemeClr w14:val="tx1"/>
                  </w14:solidFill>
                </w14:textFill>
              </w:rPr>
              <w:t>四</w:t>
            </w:r>
            <w:r>
              <w:rPr>
                <w:rFonts w:ascii="黑体" w:hAnsi="黑体" w:eastAsia="黑体" w:cs="黑体"/>
                <w:color w:val="000000" w:themeColor="text1"/>
                <w:spacing w:val="-62"/>
                <w:sz w:val="28"/>
                <w:szCs w:val="28"/>
                <w14:textFill>
                  <w14:solidFill>
                    <w14:schemeClr w14:val="tx1"/>
                  </w14:solidFill>
                </w14:textFill>
              </w:rPr>
              <w:t xml:space="preserve"> </w:t>
            </w:r>
            <w:r>
              <w:rPr>
                <w:rFonts w:ascii="黑体" w:hAnsi="黑体" w:eastAsia="黑体" w:cs="黑体"/>
                <w:color w:val="000000" w:themeColor="text1"/>
                <w:spacing w:val="-19"/>
                <w:sz w:val="28"/>
                <w:szCs w:val="28"/>
                <w14:textFill>
                  <w14:solidFill>
                    <w14:schemeClr w14:val="tx1"/>
                  </w14:solidFill>
                </w14:textFill>
              </w:rPr>
              <w:t>）生态保护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134" w:line="193" w:lineRule="auto"/>
              <w:ind w:firstLine="12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2"/>
                <w:sz w:val="28"/>
                <w:szCs w:val="28"/>
                <w14:textFill>
                  <w14:solidFill>
                    <w14:schemeClr w14:val="tx1"/>
                  </w14:solidFill>
                </w14:textFill>
              </w:rPr>
              <w:t>（</w:t>
            </w:r>
            <w:r>
              <w:rPr>
                <w:rFonts w:ascii="Times New Roman" w:hAnsi="Times New Roman" w:eastAsia="Times New Roman" w:cs="Times New Roman"/>
                <w:color w:val="000000" w:themeColor="text1"/>
                <w:spacing w:val="-2"/>
                <w:sz w:val="28"/>
                <w:szCs w:val="28"/>
                <w14:textFill>
                  <w14:solidFill>
                    <w14:schemeClr w14:val="tx1"/>
                  </w14:solidFill>
                </w14:textFill>
              </w:rPr>
              <w:t>15</w:t>
            </w:r>
            <w:r>
              <w:rPr>
                <w:rFonts w:ascii="宋体" w:hAnsi="宋体" w:eastAsia="宋体" w:cs="宋体"/>
                <w:color w:val="000000" w:themeColor="text1"/>
                <w:spacing w:val="-2"/>
                <w:sz w:val="28"/>
                <w:szCs w:val="28"/>
                <w14:textFill>
                  <w14:solidFill>
                    <w14:schemeClr w14:val="tx1"/>
                  </w14:solidFill>
                </w14:textFill>
              </w:rPr>
              <w:t>）生态质量指数（</w:t>
            </w:r>
            <w:r>
              <w:rPr>
                <w:rFonts w:ascii="Times New Roman" w:hAnsi="Times New Roman" w:eastAsia="Times New Roman" w:cs="Times New Roman"/>
                <w:color w:val="000000" w:themeColor="text1"/>
                <w:spacing w:val="-2"/>
                <w:sz w:val="28"/>
                <w:szCs w:val="28"/>
                <w14:textFill>
                  <w14:solidFill>
                    <w14:schemeClr w14:val="tx1"/>
                  </w14:solidFill>
                </w14:textFill>
              </w:rPr>
              <w:t>EQI</w:t>
            </w:r>
            <w:r>
              <w:rPr>
                <w:rFonts w:ascii="宋体" w:hAnsi="宋体" w:eastAsia="宋体" w:cs="宋体"/>
                <w:color w:val="000000" w:themeColor="text1"/>
                <w:spacing w:val="-2"/>
                <w:sz w:val="28"/>
                <w:szCs w:val="28"/>
                <w14:textFill>
                  <w14:solidFill>
                    <w14:schemeClr w14:val="tx1"/>
                  </w14:solidFill>
                </w14:textFill>
              </w:rPr>
              <w:t>）</w:t>
            </w:r>
          </w:p>
        </w:tc>
        <w:tc>
          <w:tcPr>
            <w:tcW w:w="1054" w:type="dxa"/>
            <w:vAlign w:val="top"/>
          </w:tcPr>
          <w:p>
            <w:pPr>
              <w:pageBreakBefore w:val="0"/>
              <w:widowControl/>
              <w:kinsoku w:val="0"/>
              <w:wordWrap/>
              <w:overflowPunct/>
              <w:topLinePunct w:val="0"/>
              <w:autoSpaceDE w:val="0"/>
              <w:autoSpaceDN w:val="0"/>
              <w:bidi w:val="0"/>
              <w:adjustRightInd w:val="0"/>
              <w:snapToGrid w:val="0"/>
              <w:spacing w:before="276" w:line="134" w:lineRule="exact"/>
              <w:ind w:firstLine="404"/>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4"/>
                <w:sz w:val="28"/>
                <w:szCs w:val="28"/>
                <w14:textFill>
                  <w14:solidFill>
                    <w14:schemeClr w14:val="tx1"/>
                  </w14:solidFill>
                </w14:textFill>
              </w:rPr>
              <w:t>—</w:t>
            </w:r>
          </w:p>
        </w:tc>
        <w:tc>
          <w:tcPr>
            <w:tcW w:w="1552" w:type="dxa"/>
            <w:vAlign w:val="top"/>
          </w:tcPr>
          <w:p>
            <w:pPr>
              <w:pageBreakBefore w:val="0"/>
              <w:widowControl/>
              <w:kinsoku w:val="0"/>
              <w:wordWrap/>
              <w:overflowPunct/>
              <w:topLinePunct w:val="0"/>
              <w:autoSpaceDE w:val="0"/>
              <w:autoSpaceDN w:val="0"/>
              <w:bidi w:val="0"/>
              <w:adjustRightInd w:val="0"/>
              <w:snapToGrid w:val="0"/>
              <w:spacing w:before="135" w:line="184" w:lineRule="auto"/>
              <w:ind w:firstLine="301"/>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3"/>
                <w:sz w:val="28"/>
                <w:szCs w:val="28"/>
                <w14:textFill>
                  <w14:solidFill>
                    <w14:schemeClr w14:val="tx1"/>
                  </w14:solidFill>
                </w14:textFill>
              </w:rPr>
              <w:t>稳中向好</w:t>
            </w:r>
          </w:p>
        </w:tc>
        <w:tc>
          <w:tcPr>
            <w:tcW w:w="1198" w:type="dxa"/>
            <w:vAlign w:val="top"/>
          </w:tcPr>
          <w:p>
            <w:pPr>
              <w:pageBreakBefore w:val="0"/>
              <w:widowControl/>
              <w:kinsoku w:val="0"/>
              <w:wordWrap/>
              <w:overflowPunct/>
              <w:topLinePunct w:val="0"/>
              <w:autoSpaceDE w:val="0"/>
              <w:autoSpaceDN w:val="0"/>
              <w:bidi w:val="0"/>
              <w:adjustRightInd w:val="0"/>
              <w:snapToGrid w:val="0"/>
              <w:spacing w:before="135" w:line="184" w:lineRule="auto"/>
              <w:ind w:firstLine="24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4"/>
                <w:sz w:val="28"/>
                <w:szCs w:val="28"/>
                <w14:textFill>
                  <w14:solidFill>
                    <w14:schemeClr w14:val="tx1"/>
                  </w14:solidFill>
                </w14:textFill>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91" w:line="322" w:lineRule="exact"/>
              <w:ind w:firstLine="123"/>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2"/>
                <w:position w:val="1"/>
                <w:sz w:val="28"/>
                <w:szCs w:val="28"/>
                <w14:textFill>
                  <w14:solidFill>
                    <w14:schemeClr w14:val="tx1"/>
                  </w14:solidFill>
                </w14:textFill>
              </w:rPr>
              <w:t>（</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16</w:t>
            </w:r>
            <w:r>
              <w:rPr>
                <w:rFonts w:ascii="宋体" w:hAnsi="宋体" w:eastAsia="宋体" w:cs="宋体"/>
                <w:color w:val="000000" w:themeColor="text1"/>
                <w:spacing w:val="-2"/>
                <w:position w:val="1"/>
                <w:sz w:val="28"/>
                <w:szCs w:val="28"/>
                <w14:textFill>
                  <w14:solidFill>
                    <w14:schemeClr w14:val="tx1"/>
                  </w14:solidFill>
                </w14:textFill>
              </w:rPr>
              <w:t>）森林覆盖率（</w:t>
            </w:r>
            <w:r>
              <w:rPr>
                <w:rFonts w:ascii="Times New Roman" w:hAnsi="Times New Roman" w:eastAsia="Times New Roman" w:cs="Times New Roman"/>
                <w:color w:val="000000" w:themeColor="text1"/>
                <w:spacing w:val="-2"/>
                <w:position w:val="1"/>
                <w:sz w:val="28"/>
                <w:szCs w:val="28"/>
                <w14:textFill>
                  <w14:solidFill>
                    <w14:schemeClr w14:val="tx1"/>
                  </w14:solidFill>
                </w14:textFill>
              </w:rPr>
              <w:t>%</w:t>
            </w:r>
            <w:r>
              <w:rPr>
                <w:rFonts w:ascii="宋体" w:hAnsi="宋体" w:eastAsia="宋体" w:cs="宋体"/>
                <w:color w:val="000000" w:themeColor="text1"/>
                <w:spacing w:val="-2"/>
                <w:position w:val="1"/>
                <w:sz w:val="28"/>
                <w:szCs w:val="28"/>
                <w14:textFill>
                  <w14:solidFill>
                    <w14:schemeClr w14:val="tx1"/>
                  </w14:solidFill>
                </w14:textFill>
              </w:rPr>
              <w:t>）</w:t>
            </w:r>
          </w:p>
        </w:tc>
        <w:tc>
          <w:tcPr>
            <w:tcW w:w="1054" w:type="dxa"/>
            <w:vAlign w:val="top"/>
          </w:tcPr>
          <w:p>
            <w:pPr>
              <w:pageBreakBefore w:val="0"/>
              <w:widowControl/>
              <w:kinsoku w:val="0"/>
              <w:wordWrap/>
              <w:overflowPunct/>
              <w:topLinePunct w:val="0"/>
              <w:autoSpaceDE w:val="0"/>
              <w:autoSpaceDN w:val="0"/>
              <w:bidi w:val="0"/>
              <w:adjustRightInd w:val="0"/>
              <w:snapToGrid w:val="0"/>
              <w:spacing w:before="175" w:line="180" w:lineRule="auto"/>
              <w:ind w:firstLine="265"/>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30.22</w:t>
            </w:r>
          </w:p>
        </w:tc>
        <w:tc>
          <w:tcPr>
            <w:tcW w:w="1552" w:type="dxa"/>
            <w:vAlign w:val="top"/>
          </w:tcPr>
          <w:p>
            <w:pPr>
              <w:pageBreakBefore w:val="0"/>
              <w:widowControl/>
              <w:kinsoku w:val="0"/>
              <w:wordWrap/>
              <w:overflowPunct/>
              <w:topLinePunct w:val="0"/>
              <w:autoSpaceDE w:val="0"/>
              <w:autoSpaceDN w:val="0"/>
              <w:bidi w:val="0"/>
              <w:adjustRightInd w:val="0"/>
              <w:snapToGrid w:val="0"/>
              <w:spacing w:before="134" w:line="184" w:lineRule="auto"/>
              <w:ind w:firstLine="273"/>
              <w:rPr>
                <w:rFonts w:ascii="Times New Roman" w:hAnsi="Times New Roman" w:eastAsia="Times New Roman" w:cs="Times New Roman"/>
                <w:color w:val="000000" w:themeColor="text1"/>
                <w:sz w:val="28"/>
                <w:szCs w:val="28"/>
                <w14:textFill>
                  <w14:solidFill>
                    <w14:schemeClr w14:val="tx1"/>
                  </w14:solidFill>
                </w14:textFill>
              </w:rPr>
            </w:pPr>
            <w:r>
              <w:rPr>
                <w:rFonts w:ascii="宋体" w:hAnsi="宋体" w:eastAsia="宋体" w:cs="宋体"/>
                <w:color w:val="000000" w:themeColor="text1"/>
                <w:spacing w:val="-5"/>
                <w:sz w:val="28"/>
                <w:szCs w:val="28"/>
                <w14:textFill>
                  <w14:solidFill>
                    <w14:schemeClr w14:val="tx1"/>
                  </w14:solidFill>
                </w14:textFill>
              </w:rPr>
              <w:t>不小于</w:t>
            </w:r>
            <w:r>
              <w:rPr>
                <w:rFonts w:ascii="宋体" w:hAnsi="宋体" w:eastAsia="宋体" w:cs="宋体"/>
                <w:color w:val="000000" w:themeColor="text1"/>
                <w:spacing w:val="-49"/>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5"/>
                <w:sz w:val="28"/>
                <w:szCs w:val="28"/>
                <w14:textFill>
                  <w14:solidFill>
                    <w14:schemeClr w14:val="tx1"/>
                  </w14:solidFill>
                </w14:textFill>
              </w:rPr>
              <w:t>31</w:t>
            </w:r>
          </w:p>
        </w:tc>
        <w:tc>
          <w:tcPr>
            <w:tcW w:w="1198" w:type="dxa"/>
            <w:vAlign w:val="top"/>
          </w:tcPr>
          <w:p>
            <w:pPr>
              <w:pageBreakBefore w:val="0"/>
              <w:widowControl/>
              <w:kinsoku w:val="0"/>
              <w:wordWrap/>
              <w:overflowPunct/>
              <w:topLinePunct w:val="0"/>
              <w:autoSpaceDE w:val="0"/>
              <w:autoSpaceDN w:val="0"/>
              <w:bidi w:val="0"/>
              <w:adjustRightInd w:val="0"/>
              <w:snapToGrid w:val="0"/>
              <w:spacing w:before="134" w:line="184" w:lineRule="auto"/>
              <w:ind w:firstLine="247"/>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6"/>
                <w:sz w:val="28"/>
                <w:szCs w:val="28"/>
                <w14:textFill>
                  <w14:solidFill>
                    <w14:schemeClr w14:val="tx1"/>
                  </w14:solidFill>
                </w14:textFill>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5144" w:type="dxa"/>
            <w:gridSpan w:val="2"/>
            <w:vAlign w:val="top"/>
          </w:tcPr>
          <w:p>
            <w:pPr>
              <w:pageBreakBefore w:val="0"/>
              <w:widowControl/>
              <w:kinsoku w:val="0"/>
              <w:wordWrap/>
              <w:overflowPunct/>
              <w:topLinePunct w:val="0"/>
              <w:autoSpaceDE w:val="0"/>
              <w:autoSpaceDN w:val="0"/>
              <w:bidi w:val="0"/>
              <w:adjustRightInd w:val="0"/>
              <w:snapToGrid w:val="0"/>
              <w:spacing w:before="90" w:line="323" w:lineRule="exact"/>
              <w:ind w:firstLine="123"/>
              <w:rPr>
                <w:rFonts w:ascii="Times New Roman" w:hAnsi="Times New Roman" w:eastAsia="Times New Roman" w:cs="Times New Roman"/>
                <w:color w:val="000000" w:themeColor="text1"/>
                <w:sz w:val="28"/>
                <w:szCs w:val="28"/>
                <w14:textFill>
                  <w14:solidFill>
                    <w14:schemeClr w14:val="tx1"/>
                  </w14:solidFill>
                </w14:textFill>
              </w:rPr>
            </w:pPr>
            <w:r>
              <w:rPr>
                <w:rFonts w:ascii="宋体" w:hAnsi="宋体" w:eastAsia="宋体" w:cs="宋体"/>
                <w:color w:val="000000" w:themeColor="text1"/>
                <w:spacing w:val="-1"/>
                <w:position w:val="1"/>
                <w:sz w:val="28"/>
                <w:szCs w:val="28"/>
                <w14:textFill>
                  <w14:solidFill>
                    <w14:schemeClr w14:val="tx1"/>
                  </w14:solidFill>
                </w14:textFill>
              </w:rPr>
              <w:t>（</w:t>
            </w:r>
            <w:r>
              <w:rPr>
                <w:rFonts w:ascii="Times New Roman" w:hAnsi="Times New Roman" w:eastAsia="Times New Roman" w:cs="Times New Roman"/>
                <w:color w:val="000000" w:themeColor="text1"/>
                <w:spacing w:val="-1"/>
                <w:position w:val="1"/>
                <w:sz w:val="28"/>
                <w:szCs w:val="28"/>
                <w14:textFill>
                  <w14:solidFill>
                    <w14:schemeClr w14:val="tx1"/>
                  </w14:solidFill>
                </w14:textFill>
              </w:rPr>
              <w:t>17</w:t>
            </w:r>
            <w:r>
              <w:rPr>
                <w:rFonts w:ascii="宋体" w:hAnsi="宋体" w:eastAsia="宋体" w:cs="宋体"/>
                <w:color w:val="000000" w:themeColor="text1"/>
                <w:spacing w:val="-1"/>
                <w:position w:val="1"/>
                <w:sz w:val="28"/>
                <w:szCs w:val="28"/>
                <w14:textFill>
                  <w14:solidFill>
                    <w14:schemeClr w14:val="tx1"/>
                  </w14:solidFill>
                </w14:textFill>
              </w:rPr>
              <w:t>）生态保护红线面积</w:t>
            </w:r>
            <w:r>
              <w:rPr>
                <w:rFonts w:ascii="Times New Roman" w:hAnsi="Times New Roman" w:eastAsia="Times New Roman" w:cs="Times New Roman"/>
                <w:color w:val="000000" w:themeColor="text1"/>
                <w:spacing w:val="-1"/>
                <w:position w:val="1"/>
                <w:sz w:val="28"/>
                <w:szCs w:val="28"/>
                <w14:textFill>
                  <w14:solidFill>
                    <w14:schemeClr w14:val="tx1"/>
                  </w14:solidFill>
                </w14:textFill>
              </w:rPr>
              <w:t>(</w:t>
            </w:r>
            <w:r>
              <w:rPr>
                <w:rFonts w:ascii="宋体" w:hAnsi="宋体" w:eastAsia="宋体" w:cs="宋体"/>
                <w:color w:val="000000" w:themeColor="text1"/>
                <w:spacing w:val="-1"/>
                <w:position w:val="1"/>
                <w:sz w:val="28"/>
                <w:szCs w:val="28"/>
                <w14:textFill>
                  <w14:solidFill>
                    <w14:schemeClr w14:val="tx1"/>
                  </w14:solidFill>
                </w14:textFill>
              </w:rPr>
              <w:t>平方公里</w:t>
            </w:r>
            <w:r>
              <w:rPr>
                <w:rFonts w:ascii="Times New Roman" w:hAnsi="Times New Roman" w:eastAsia="Times New Roman" w:cs="Times New Roman"/>
                <w:color w:val="000000" w:themeColor="text1"/>
                <w:spacing w:val="-1"/>
                <w:position w:val="1"/>
                <w:sz w:val="28"/>
                <w:szCs w:val="28"/>
                <w14:textFill>
                  <w14:solidFill>
                    <w14:schemeClr w14:val="tx1"/>
                  </w14:solidFill>
                </w14:textFill>
              </w:rPr>
              <w:t>)</w:t>
            </w:r>
          </w:p>
        </w:tc>
        <w:tc>
          <w:tcPr>
            <w:tcW w:w="1054" w:type="dxa"/>
            <w:vAlign w:val="top"/>
          </w:tcPr>
          <w:p>
            <w:pPr>
              <w:pageBreakBefore w:val="0"/>
              <w:widowControl/>
              <w:kinsoku w:val="0"/>
              <w:wordWrap/>
              <w:overflowPunct/>
              <w:topLinePunct w:val="0"/>
              <w:autoSpaceDE w:val="0"/>
              <w:autoSpaceDN w:val="0"/>
              <w:bidi w:val="0"/>
              <w:adjustRightInd w:val="0"/>
              <w:snapToGrid w:val="0"/>
              <w:spacing w:before="276" w:line="135" w:lineRule="exact"/>
              <w:ind w:firstLine="404"/>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4"/>
                <w:sz w:val="28"/>
                <w:szCs w:val="28"/>
                <w14:textFill>
                  <w14:solidFill>
                    <w14:schemeClr w14:val="tx1"/>
                  </w14:solidFill>
                </w14:textFill>
              </w:rPr>
              <w:t>—</w:t>
            </w:r>
          </w:p>
        </w:tc>
        <w:tc>
          <w:tcPr>
            <w:tcW w:w="1552" w:type="dxa"/>
            <w:vAlign w:val="top"/>
          </w:tcPr>
          <w:p>
            <w:pPr>
              <w:pageBreakBefore w:val="0"/>
              <w:widowControl/>
              <w:kinsoku w:val="0"/>
              <w:wordWrap/>
              <w:overflowPunct/>
              <w:topLinePunct w:val="0"/>
              <w:autoSpaceDE w:val="0"/>
              <w:autoSpaceDN w:val="0"/>
              <w:bidi w:val="0"/>
              <w:adjustRightInd w:val="0"/>
              <w:snapToGrid w:val="0"/>
              <w:spacing w:before="136" w:line="184" w:lineRule="auto"/>
              <w:ind w:firstLine="424"/>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5"/>
                <w:sz w:val="28"/>
                <w:szCs w:val="28"/>
                <w14:textFill>
                  <w14:solidFill>
                    <w14:schemeClr w14:val="tx1"/>
                  </w14:solidFill>
                </w14:textFill>
              </w:rPr>
              <w:t>不减少</w:t>
            </w:r>
          </w:p>
        </w:tc>
        <w:tc>
          <w:tcPr>
            <w:tcW w:w="1198" w:type="dxa"/>
            <w:vAlign w:val="top"/>
          </w:tcPr>
          <w:p>
            <w:pPr>
              <w:pageBreakBefore w:val="0"/>
              <w:widowControl/>
              <w:kinsoku w:val="0"/>
              <w:wordWrap/>
              <w:overflowPunct/>
              <w:topLinePunct w:val="0"/>
              <w:autoSpaceDE w:val="0"/>
              <w:autoSpaceDN w:val="0"/>
              <w:bidi w:val="0"/>
              <w:adjustRightInd w:val="0"/>
              <w:snapToGrid w:val="0"/>
              <w:spacing w:before="136" w:line="184" w:lineRule="auto"/>
              <w:ind w:firstLine="247"/>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6"/>
                <w:sz w:val="28"/>
                <w:szCs w:val="28"/>
                <w14:textFill>
                  <w14:solidFill>
                    <w14:schemeClr w14:val="tx1"/>
                  </w14:solidFill>
                </w14:textFill>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8948" w:type="dxa"/>
            <w:gridSpan w:val="5"/>
            <w:vAlign w:val="top"/>
          </w:tcPr>
          <w:p>
            <w:pPr>
              <w:pageBreakBefore w:val="0"/>
              <w:widowControl/>
              <w:kinsoku w:val="0"/>
              <w:wordWrap/>
              <w:overflowPunct/>
              <w:topLinePunct w:val="0"/>
              <w:autoSpaceDE w:val="0"/>
              <w:autoSpaceDN w:val="0"/>
              <w:bidi w:val="0"/>
              <w:adjustRightInd w:val="0"/>
              <w:snapToGrid w:val="0"/>
              <w:spacing w:before="118" w:line="272" w:lineRule="auto"/>
              <w:ind w:left="112" w:right="109"/>
              <w:rPr>
                <w:rFonts w:ascii="黑体" w:hAnsi="黑体" w:eastAsia="黑体" w:cs="黑体"/>
                <w:color w:val="000000" w:themeColor="text1"/>
                <w:sz w:val="28"/>
                <w:szCs w:val="28"/>
                <w14:textFill>
                  <w14:solidFill>
                    <w14:schemeClr w14:val="tx1"/>
                  </w14:solidFill>
                </w14:textFill>
              </w:rPr>
            </w:pPr>
            <w:r>
              <w:rPr>
                <w:rFonts w:ascii="宋体" w:hAnsi="宋体" w:eastAsia="宋体" w:cs="宋体"/>
                <w:color w:val="000000" w:themeColor="text1"/>
                <w:spacing w:val="-2"/>
                <w:sz w:val="28"/>
                <w:szCs w:val="28"/>
                <w14:textFill>
                  <w14:solidFill>
                    <w14:schemeClr w14:val="tx1"/>
                  </w14:solidFill>
                </w14:textFill>
              </w:rPr>
              <w:t>①</w:t>
            </w:r>
            <w:r>
              <w:rPr>
                <w:rFonts w:ascii="黑体" w:hAnsi="黑体" w:eastAsia="黑体" w:cs="黑体"/>
                <w:color w:val="000000" w:themeColor="text1"/>
                <w:spacing w:val="-2"/>
                <w:sz w:val="28"/>
                <w:szCs w:val="28"/>
                <w14:textFill>
                  <w14:solidFill>
                    <w14:schemeClr w14:val="tx1"/>
                  </w14:solidFill>
                </w14:textFill>
              </w:rPr>
              <w:t>地表水达到或好于</w:t>
            </w:r>
            <w:r>
              <w:rPr>
                <w:rFonts w:ascii="黑体" w:hAnsi="黑体" w:eastAsia="黑体" w:cs="黑体"/>
                <w:color w:val="000000" w:themeColor="text1"/>
                <w:spacing w:val="-37"/>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2"/>
                <w:sz w:val="28"/>
                <w:szCs w:val="28"/>
                <w14:textFill>
                  <w14:solidFill>
                    <w14:schemeClr w14:val="tx1"/>
                  </w14:solidFill>
                </w14:textFill>
              </w:rPr>
              <w:t>III</w:t>
            </w:r>
            <w:r>
              <w:rPr>
                <w:rFonts w:ascii="Times New Roman" w:hAnsi="Times New Roman" w:eastAsia="Times New Roman" w:cs="Times New Roman"/>
                <w:color w:val="000000" w:themeColor="text1"/>
                <w:spacing w:val="15"/>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类水体比例</w:t>
            </w:r>
            <w:r>
              <w:rPr>
                <w:rFonts w:ascii="黑体" w:hAnsi="黑体" w:eastAsia="黑体" w:cs="黑体"/>
                <w:color w:val="000000" w:themeColor="text1"/>
                <w:spacing w:val="-55"/>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2"/>
                <w:sz w:val="28"/>
                <w:szCs w:val="28"/>
                <w14:textFill>
                  <w14:solidFill>
                    <w14:schemeClr w14:val="tx1"/>
                  </w14:solidFill>
                </w14:textFill>
              </w:rPr>
              <w:t>2020</w:t>
            </w:r>
            <w:r>
              <w:rPr>
                <w:rFonts w:ascii="Times New Roman" w:hAnsi="Times New Roman" w:eastAsia="Times New Roman" w:cs="Times New Roman"/>
                <w:color w:val="000000" w:themeColor="text1"/>
                <w:spacing w:val="8"/>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年数据按照</w:t>
            </w:r>
            <w:r>
              <w:rPr>
                <w:rFonts w:ascii="黑体" w:hAnsi="黑体" w:eastAsia="黑体" w:cs="黑体"/>
                <w:color w:val="000000" w:themeColor="text1"/>
                <w:spacing w:val="-32"/>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2"/>
                <w:sz w:val="28"/>
                <w:szCs w:val="28"/>
                <w14:textFill>
                  <w14:solidFill>
                    <w14:schemeClr w14:val="tx1"/>
                  </w14:solidFill>
                </w14:textFill>
              </w:rPr>
              <w:t>194</w:t>
            </w:r>
            <w:r>
              <w:rPr>
                <w:rFonts w:ascii="Times New Roman" w:hAnsi="Times New Roman" w:eastAsia="Times New Roman" w:cs="Times New Roman"/>
                <w:color w:val="000000" w:themeColor="text1"/>
                <w:spacing w:val="22"/>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个国家考核断面计算。</w:t>
            </w:r>
            <w:r>
              <w:rPr>
                <w:rFonts w:ascii="黑体" w:hAnsi="黑体" w:eastAsia="黑体" w:cs="黑体"/>
                <w:color w:val="000000" w:themeColor="text1"/>
                <w:sz w:val="28"/>
                <w:szCs w:val="28"/>
                <w14:textFill>
                  <w14:solidFill>
                    <w14:schemeClr w14:val="tx1"/>
                  </w14:solidFill>
                </w14:textFill>
              </w:rPr>
              <w:t xml:space="preserve">   </w:t>
            </w:r>
            <w:r>
              <w:rPr>
                <w:rFonts w:ascii="宋体" w:hAnsi="宋体" w:eastAsia="宋体" w:cs="宋体"/>
                <w:color w:val="000000" w:themeColor="text1"/>
                <w:spacing w:val="-3"/>
                <w:sz w:val="28"/>
                <w:szCs w:val="28"/>
                <w14:textFill>
                  <w14:solidFill>
                    <w14:schemeClr w14:val="tx1"/>
                  </w14:solidFill>
                </w14:textFill>
              </w:rPr>
              <w:t>②</w:t>
            </w:r>
            <w:r>
              <w:rPr>
                <w:rFonts w:ascii="黑体" w:hAnsi="黑体" w:eastAsia="黑体" w:cs="黑体"/>
                <w:color w:val="000000" w:themeColor="text1"/>
                <w:spacing w:val="-3"/>
                <w:sz w:val="28"/>
                <w:szCs w:val="28"/>
                <w14:textFill>
                  <w14:solidFill>
                    <w14:schemeClr w14:val="tx1"/>
                  </w14:solidFill>
                </w14:textFill>
              </w:rPr>
              <w:t>【</w:t>
            </w:r>
            <w:r>
              <w:rPr>
                <w:rFonts w:ascii="黑体" w:hAnsi="黑体" w:eastAsia="黑体" w:cs="黑体"/>
                <w:color w:val="000000" w:themeColor="text1"/>
                <w:spacing w:val="-19"/>
                <w:sz w:val="28"/>
                <w:szCs w:val="28"/>
                <w14:textFill>
                  <w14:solidFill>
                    <w14:schemeClr w14:val="tx1"/>
                  </w14:solidFill>
                </w14:textFill>
              </w:rPr>
              <w:t xml:space="preserve"> </w:t>
            </w:r>
            <w:r>
              <w:rPr>
                <w:rFonts w:ascii="黑体" w:hAnsi="黑体" w:eastAsia="黑体" w:cs="黑体"/>
                <w:color w:val="000000" w:themeColor="text1"/>
                <w:spacing w:val="-3"/>
                <w:sz w:val="28"/>
                <w:szCs w:val="28"/>
                <w14:textFill>
                  <w14:solidFill>
                    <w14:schemeClr w14:val="tx1"/>
                  </w14:solidFill>
                </w14:textFill>
              </w:rPr>
              <w:t>】为</w:t>
            </w:r>
            <w:r>
              <w:rPr>
                <w:rFonts w:ascii="黑体" w:hAnsi="黑体" w:eastAsia="黑体" w:cs="黑体"/>
                <w:color w:val="000000" w:themeColor="text1"/>
                <w:spacing w:val="-46"/>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3"/>
                <w:sz w:val="28"/>
                <w:szCs w:val="28"/>
                <w14:textFill>
                  <w14:solidFill>
                    <w14:schemeClr w14:val="tx1"/>
                  </w14:solidFill>
                </w14:textFill>
              </w:rPr>
              <w:t>5</w:t>
            </w:r>
            <w:r>
              <w:rPr>
                <w:rFonts w:ascii="Times New Roman" w:hAnsi="Times New Roman" w:eastAsia="Times New Roman" w:cs="Times New Roman"/>
                <w:color w:val="000000" w:themeColor="text1"/>
                <w:spacing w:val="6"/>
                <w:sz w:val="28"/>
                <w:szCs w:val="28"/>
                <w14:textFill>
                  <w14:solidFill>
                    <w14:schemeClr w14:val="tx1"/>
                  </w14:solidFill>
                </w14:textFill>
              </w:rPr>
              <w:t xml:space="preserve"> </w:t>
            </w:r>
            <w:r>
              <w:rPr>
                <w:rFonts w:ascii="黑体" w:hAnsi="黑体" w:eastAsia="黑体" w:cs="黑体"/>
                <w:color w:val="000000" w:themeColor="text1"/>
                <w:spacing w:val="-3"/>
                <w:sz w:val="28"/>
                <w:szCs w:val="28"/>
                <w14:textFill>
                  <w14:solidFill>
                    <w14:schemeClr w14:val="tx1"/>
                  </w14:solidFill>
                </w14:textFill>
              </w:rPr>
              <w:t>年累计数。</w:t>
            </w:r>
            <w:r>
              <w:rPr>
                <w:rFonts w:ascii="宋体" w:hAnsi="宋体" w:eastAsia="宋体" w:cs="宋体"/>
                <w:color w:val="000000" w:themeColor="text1"/>
                <w:spacing w:val="-3"/>
                <w:sz w:val="28"/>
                <w:szCs w:val="28"/>
                <w14:textFill>
                  <w14:solidFill>
                    <w14:schemeClr w14:val="tx1"/>
                  </w14:solidFill>
                </w14:textFill>
              </w:rPr>
              <w:t>③</w:t>
            </w:r>
            <w:r>
              <w:rPr>
                <w:rFonts w:ascii="黑体" w:hAnsi="黑体" w:eastAsia="黑体" w:cs="黑体"/>
                <w:color w:val="000000" w:themeColor="text1"/>
                <w:spacing w:val="-3"/>
                <w:sz w:val="28"/>
                <w:szCs w:val="28"/>
                <w14:textFill>
                  <w14:solidFill>
                    <w14:schemeClr w14:val="tx1"/>
                  </w14:solidFill>
                </w14:textFill>
              </w:rPr>
              <w:t>地下水质量</w:t>
            </w:r>
            <w:r>
              <w:rPr>
                <w:rFonts w:ascii="黑体" w:hAnsi="黑体" w:eastAsia="黑体" w:cs="黑体"/>
                <w:color w:val="000000" w:themeColor="text1"/>
                <w:spacing w:val="-58"/>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3"/>
                <w:sz w:val="28"/>
                <w:szCs w:val="28"/>
                <w14:textFill>
                  <w14:solidFill>
                    <w14:schemeClr w14:val="tx1"/>
                  </w14:solidFill>
                </w14:textFill>
              </w:rPr>
              <w:t>V</w:t>
            </w:r>
            <w:r>
              <w:rPr>
                <w:rFonts w:ascii="Times New Roman" w:hAnsi="Times New Roman" w:eastAsia="Times New Roman" w:cs="Times New Roman"/>
                <w:color w:val="000000" w:themeColor="text1"/>
                <w:spacing w:val="13"/>
                <w:sz w:val="28"/>
                <w:szCs w:val="28"/>
                <w14:textFill>
                  <w14:solidFill>
                    <w14:schemeClr w14:val="tx1"/>
                  </w14:solidFill>
                </w14:textFill>
              </w:rPr>
              <w:t xml:space="preserve"> </w:t>
            </w:r>
            <w:r>
              <w:rPr>
                <w:rFonts w:ascii="黑体" w:hAnsi="黑体" w:eastAsia="黑体" w:cs="黑体"/>
                <w:color w:val="000000" w:themeColor="text1"/>
                <w:spacing w:val="-3"/>
                <w:sz w:val="28"/>
                <w:szCs w:val="28"/>
                <w14:textFill>
                  <w14:solidFill>
                    <w14:schemeClr w14:val="tx1"/>
                  </w14:solidFill>
                </w14:textFill>
              </w:rPr>
              <w:t>类水比例指国家级地下水质监测点位中，水</w:t>
            </w:r>
            <w:r>
              <w:rPr>
                <w:rFonts w:ascii="黑体" w:hAnsi="黑体" w:eastAsia="黑体" w:cs="黑体"/>
                <w:color w:val="000000" w:themeColor="text1"/>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质为</w:t>
            </w:r>
            <w:r>
              <w:rPr>
                <w:rFonts w:ascii="黑体" w:hAnsi="黑体" w:eastAsia="黑体" w:cs="黑体"/>
                <w:color w:val="000000" w:themeColor="text1"/>
                <w:spacing w:val="-53"/>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2"/>
                <w:sz w:val="28"/>
                <w:szCs w:val="28"/>
                <w14:textFill>
                  <w14:solidFill>
                    <w14:schemeClr w14:val="tx1"/>
                  </w14:solidFill>
                </w14:textFill>
              </w:rPr>
              <w:t>V</w:t>
            </w:r>
            <w:r>
              <w:rPr>
                <w:rFonts w:ascii="Times New Roman" w:hAnsi="Times New Roman" w:eastAsia="Times New Roman" w:cs="Times New Roman"/>
                <w:color w:val="000000" w:themeColor="text1"/>
                <w:spacing w:val="13"/>
                <w:w w:val="101"/>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类的点位所占的比例。</w:t>
            </w:r>
          </w:p>
        </w:tc>
      </w:tr>
    </w:tbl>
    <w:p>
      <w:pPr>
        <w:pageBreakBefore w:val="0"/>
        <w:widowControl/>
        <w:kinsoku w:val="0"/>
        <w:wordWrap/>
        <w:overflowPunct/>
        <w:topLinePunct w:val="0"/>
        <w:autoSpaceDE w:val="0"/>
        <w:autoSpaceDN w:val="0"/>
        <w:bidi w:val="0"/>
        <w:adjustRightInd w:val="0"/>
        <w:snapToGrid w:val="0"/>
        <w:rPr>
          <w:rFonts w:ascii="Times New Roman"/>
          <w:color w:val="000000" w:themeColor="text1"/>
          <w:sz w:val="28"/>
          <w:szCs w:val="28"/>
          <w14:textFill>
            <w14:solidFill>
              <w14:schemeClr w14:val="tx1"/>
            </w14:solidFill>
          </w14:textFill>
        </w:rPr>
      </w:pPr>
    </w:p>
    <w:p>
      <w:pPr>
        <w:pStyle w:val="2"/>
        <w:keepNext/>
        <w:keepLines/>
        <w:pageBreakBefore w:val="0"/>
        <w:widowControl/>
        <w:kinsoku w:val="0"/>
        <w:wordWrap/>
        <w:overflowPunct/>
        <w:topLinePunct w:val="0"/>
        <w:autoSpaceDE w:val="0"/>
        <w:autoSpaceDN w:val="0"/>
        <w:bidi w:val="0"/>
        <w:adjustRightInd w:val="0"/>
        <w:snapToGrid w:val="0"/>
        <w:spacing w:before="0" w:after="0" w:line="360" w:lineRule="auto"/>
        <w:textAlignment w:val="baseline"/>
        <w:rPr>
          <w:rFonts w:hint="eastAsia" w:ascii="宋体" w:hAnsi="宋体" w:eastAsia="宋体" w:cs="宋体"/>
          <w:b/>
          <w:color w:val="000000" w:themeColor="text1"/>
          <w:sz w:val="28"/>
          <w:szCs w:val="28"/>
          <w14:textFill>
            <w14:solidFill>
              <w14:schemeClr w14:val="tx1"/>
            </w14:solidFill>
          </w14:textFill>
        </w:rPr>
      </w:pPr>
      <w:bookmarkStart w:id="8" w:name="_Toc5210"/>
      <w:r>
        <w:rPr>
          <w:rFonts w:hint="eastAsia" w:ascii="宋体" w:hAnsi="宋体" w:eastAsia="宋体" w:cs="宋体"/>
          <w:b/>
          <w:color w:val="000000" w:themeColor="text1"/>
          <w:sz w:val="28"/>
          <w:szCs w:val="28"/>
          <w14:textFill>
            <w14:solidFill>
              <w14:schemeClr w14:val="tx1"/>
            </w14:solidFill>
          </w14:textFill>
        </w:rPr>
        <w:t>三、全面推动绿色转型发展</w:t>
      </w:r>
      <w:bookmarkEnd w:id="8"/>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深入推进生态省建设，坚持绿色发展导向，持续推动产 业结构、能源结构、交通运输结构调整，倡导绿色低碳生活 方式，依托“三地一区”建设，打造引领高质量发展强大引擎， 为现代化美好安徽建设贡献力量。</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9" w:name="_Toc17529"/>
      <w:r>
        <w:rPr>
          <w:rFonts w:cs="Arial"/>
          <w:b/>
          <w:color w:val="000000" w:themeColor="text1"/>
          <w:sz w:val="28"/>
          <w:szCs w:val="28"/>
          <w14:textFill>
            <w14:solidFill>
              <w14:schemeClr w14:val="tx1"/>
            </w14:solidFill>
          </w14:textFill>
        </w:rPr>
        <w:t>（ 一）加快产业结构转型升级</w:t>
      </w:r>
      <w:bookmarkEnd w:id="9"/>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以钢铁、水泥、石化、化工、玻璃、有色、印染等行业 为重点，开展全流程清洁化、循环化、低碳化改造，促进传 统产业绿色转型升级，在火电、钢铁、建材等行业开展减污 降碳协同增效。支持各市因地制宜制定化工项目入园标准， 建立入园项目准入评审制度。加快淘汰落后低端产能，加大 新基建、高新技术产业、新能源汽车等产业的支持力度，构 建高效节能、先进环保和资源循环利用的绿色产业体系，充 分发挥生态环境保护引导、优化和倒逼作用，加快生产方式 绿色转型，提升经济发展质量。围绕合肥都市圈、皖江城市 带、淮河生态经济带、新安江生态经济示范区等区域发展， 大力推进产业布局调整和结构优化。高水平打造皖北承接产 业转移集聚区，加快阜阳、淮南、淮北等煤化工企业绿色转 型升级。在皖西大别山区、皖南山区重点发展现代农业、文 化旅游、大健康、医药产业、农产品加工等特色产业及配套 产业。强化开发区和产业集群升级改造，实施“一园一策”“一 行一策”战略，推动一批行业达到长三角区域先进水平。</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依法完善产品能效、水效、碳排放、污染物排放等标准，实施能效、水效“领跑者”制度。实施节水行动，提高农业、 工业、城镇生活用水效率。依法推进清洁生产，在重点行业 深入推进强制性清洁生产审核，推动传统行业智能化、清洁 化改造，鼓励开展行业、开发区和企业集群整体审核模式试 点。开展重点行业和重点产品资源效率对标提升行动。</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10" w:name="_Toc27783"/>
      <w:r>
        <w:rPr>
          <w:rFonts w:cs="Arial"/>
          <w:b/>
          <w:color w:val="000000" w:themeColor="text1"/>
          <w:sz w:val="28"/>
          <w:szCs w:val="28"/>
          <w14:textFill>
            <w14:solidFill>
              <w14:schemeClr w14:val="tx1"/>
            </w14:solidFill>
          </w14:textFill>
        </w:rPr>
        <w:t>（ 二）推动能源结构优化</w:t>
      </w:r>
      <w:bookmarkEnd w:id="10"/>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强化能源消费总量和强度双控制度 ，严格控制能耗强 度，有效控制能源消费增量，坚决遏制“两高”项目盲目发展。 发挥市场配置资源作用 ，引导能源要素合理流动和高效配 置。严格控制煤炭消费总量，大气污染防治重点区域内新、 改、扩建用煤项目严格实施煤炭等量或减量替代。完成 30  万千瓦及以上热电联产机组供热半径 15 公里范围内燃煤锅 炉和低效燃煤热电关停整合。到 2025 年，完成国家对全省 煤炭消费总量控制要求。不断降低煤炭、电力、化工等行业 综合能耗，进一步提高工业能源利用效率和清洁化水平。加 快各级开发区实施集中供热和清洁能源替代 ，加大燃煤热 电、燃煤锅炉淘汰力度，有条件地发展大型燃气供热锅炉。 系统提升清洁低碳能源比例，积极扩大天然气利用，推进发 展风电和太阳能发电，有序发展生物质能和其他新能源，壮 大清洁能源产业，推进可再生能源规模化发展。扩大利用区 外可再生能源来电规模，推行清洁低碳电力调度，对清洁电 力给予优先上网、优先购电，提升清洁电力消纳能力。积极 推进煤电深度调峰改造，加快宁国、金寨、岳西、石台、霍山等抽水蓄能电站建设，建立调峰互济机制，积极鼓励电化学储能、压缩空气储能等先进储能技术研究和应用。到 2025 年，全省天然气消费量力争达到 120 亿立方米左右，全省非 化石能源发电装机比重提高至 40%。</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11" w:name="_Toc14150"/>
      <w:r>
        <w:rPr>
          <w:rFonts w:cs="Arial"/>
          <w:b/>
          <w:color w:val="000000" w:themeColor="text1"/>
          <w:sz w:val="28"/>
          <w:szCs w:val="28"/>
          <w14:textFill>
            <w14:solidFill>
              <w14:schemeClr w14:val="tx1"/>
            </w14:solidFill>
          </w14:textFill>
        </w:rPr>
        <w:t>（ 三）构建绿色交通运输体系</w:t>
      </w:r>
      <w:bookmarkEnd w:id="11"/>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重点加强货运运输结构调整力度，针对煤炭、钢铁、水 泥、砂石骨料等大宗物料以及重点地区农产品、工业产品等 运输，深挖运输结构调整潜力，谋划货运运输“公转铁”和“公 转水”重大工程。依托铁路物流基地、内河港 口、物流园区等， 推进多式联运设施建设，推广新能源物流配送车辆，建设城 市绿色物流体系。科学有序发展城市轨道交通，加快提高公 共车辆中新能源汽车占比，突出抓好公交、出租、市政车辆、 城市物流等行业及机关单位的新能源汽车示范应用工作，所 有设区城市在 2023 年底前新能源公交车占比达 80%以上。 加快加气站、充电站（桩） 等配套设施建设，满足新能源和 清洁能源汽车发展需求。</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12" w:name="_Toc2499"/>
      <w:r>
        <w:rPr>
          <w:rFonts w:cs="Arial"/>
          <w:b/>
          <w:color w:val="000000" w:themeColor="text1"/>
          <w:sz w:val="28"/>
          <w:szCs w:val="28"/>
          <w14:textFill>
            <w14:solidFill>
              <w14:schemeClr w14:val="tx1"/>
            </w14:solidFill>
          </w14:textFill>
        </w:rPr>
        <w:t>（ 四）壮大新能源和节能环保产业</w:t>
      </w:r>
      <w:bookmarkEnd w:id="12"/>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围绕减污、节能、降碳与经济增长相融合，以“双招双引” 和培育壮大为路径，以龙头骨干企业、产业集聚园区和研发 创新平台为支撑，着力发展新能源、高效节能、先进环保、 资源循环利用和碳中和五大产业经济板块。积极创新招引方 式，开展“名人招引”“嫁接招引”“场景招引”“成果招引”和“资 本招引”，全面提升招商引资质量和效率。围绕产业链、创新链发展需要，突出“高精尖缺”导向，加大科研、技能、管理 等各类产业人才引进培育力度。加强政府引导，支持形成多 元化的社会投融资机制，推动设立产业发展基金。完善科技 成果转化机制，依托产业公共服务平台，加强细分领域产学 研用结合和成果产出转化，加速先进关键技术产业化。加快 污水收集处理、大气污染治理、远程污染源监控等传统环保 设施智能化改造，加快生态环保产业与新一代信息技术融合 发展。</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13" w:name="_Toc18388"/>
      <w:r>
        <w:rPr>
          <w:rFonts w:cs="Arial"/>
          <w:b/>
          <w:color w:val="000000" w:themeColor="text1"/>
          <w:sz w:val="28"/>
          <w:szCs w:val="28"/>
          <w14:textFill>
            <w14:solidFill>
              <w14:schemeClr w14:val="tx1"/>
            </w14:solidFill>
          </w14:textFill>
        </w:rPr>
        <w:t>（ 五）践行绿色低碳生产生活方式</w:t>
      </w:r>
      <w:bookmarkEnd w:id="13"/>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强化生态文明创建。继续推进生态文明建设示范区、“绿 水青山就是金山银山”实践创新基地、“无废城市”建设、美丽 中国地方实践等示范创建工作。推动绿色化发展。将“生态+” 理念融入产业发展全过程、全领域，促进生产、消费、流通 各环节绿色化。构建绿色产业链供应链，以化工、有色、电 子电器、汽车等行业为重点，推进产品设计、生产工艺、产 品分销、运营维护和回收处置利用全过程绿色化。推行绿色 生活方式。积极倡导勤俭节约、低碳环保、文明健康的绿色 生活方式和消费模式。将生态文明教育纳入国民素质教育和 干部培训体系，推动生态文明教育进课堂、进社区、进农村、 进企业、进家庭，让人民群众理念上自觉认同、行动上积极 参与，将绿色生活方式体现到吃穿住行用等各个环节。</w:t>
      </w:r>
    </w:p>
    <w:p>
      <w:pPr>
        <w:pStyle w:val="2"/>
        <w:keepNext/>
        <w:keepLines/>
        <w:pageBreakBefore w:val="0"/>
        <w:widowControl/>
        <w:kinsoku w:val="0"/>
        <w:wordWrap/>
        <w:overflowPunct/>
        <w:topLinePunct w:val="0"/>
        <w:autoSpaceDE w:val="0"/>
        <w:autoSpaceDN w:val="0"/>
        <w:bidi w:val="0"/>
        <w:adjustRightInd w:val="0"/>
        <w:snapToGrid w:val="0"/>
        <w:spacing w:before="0" w:after="0" w:line="360" w:lineRule="auto"/>
        <w:textAlignment w:val="baseline"/>
        <w:rPr>
          <w:rFonts w:ascii="黑体" w:hAnsi="黑体" w:eastAsia="黑体" w:cs="黑体"/>
          <w:color w:val="000000" w:themeColor="text1"/>
          <w:sz w:val="28"/>
          <w:szCs w:val="28"/>
          <w14:textFill>
            <w14:solidFill>
              <w14:schemeClr w14:val="tx1"/>
            </w14:solidFill>
          </w14:textFill>
        </w:rPr>
      </w:pPr>
      <w:bookmarkStart w:id="14" w:name="_Toc17399"/>
      <w:r>
        <w:rPr>
          <w:rFonts w:hint="eastAsia" w:ascii="宋体" w:hAnsi="宋体" w:eastAsia="宋体" w:cs="宋体"/>
          <w:b/>
          <w:snapToGrid w:val="0"/>
          <w:color w:val="000000" w:themeColor="text1"/>
          <w:kern w:val="44"/>
          <w:sz w:val="28"/>
          <w:szCs w:val="28"/>
          <w14:textFill>
            <w14:solidFill>
              <w14:schemeClr w14:val="tx1"/>
            </w14:solidFill>
          </w14:textFill>
        </w:rPr>
        <w:t>四、切实推进生态环境持续改善</w:t>
      </w:r>
      <w:bookmarkEnd w:id="14"/>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以持续改善生态环境质量为核心，落实精准治污、科学治污、依法治污，针对人民群众关心的大气、水、土壤、农 业农村、生态安全、环境风险、应对气候变化等重点领域， 深入打好污染防治攻坚战。</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15" w:name="_Toc26558"/>
      <w:r>
        <w:rPr>
          <w:rFonts w:cs="Arial"/>
          <w:b/>
          <w:color w:val="000000" w:themeColor="text1"/>
          <w:sz w:val="28"/>
          <w:szCs w:val="28"/>
          <w14:textFill>
            <w14:solidFill>
              <w14:schemeClr w14:val="tx1"/>
            </w14:solidFill>
          </w14:textFill>
        </w:rPr>
        <w:t>（ 一）纵深推进长江经济带生态修复和环境治理</w:t>
      </w:r>
      <w:bookmarkEnd w:id="15"/>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全面落实《 中华人民共和国长江保护法》，统筹考虑水 环境、水生态、水资源、水安全、水文化和岸线等多方面的 有机联系，推进长江安徽段干支流、左右岸、江河湖库协同 治理，突出抓好长江治污、治岸、治渔，改善长江生态环境 和水域生态功能，提升生态系统质量和稳定性，保持长江生 态原真性和完整性。以沿江主要城市为节点，构建沿江绿色发展轴，对标江苏苏南、浙江杭嘉湖，推动马鞍山建设成为生态优、产业强、活力足、城乡美、百姓富的长三角“白菜心”。 纵深推进以“严整改、重质量、促转型”为主要内容的新一轮 “三大一强”专项攻坚行动，持续抓好突出生态环境问题整改， 开展长江全流域入河排污 口排查整治，确保长江水质稳优向 好，早日重现“一江碧水向东流”的胜景。优化沿江城市产业 布局，合理发展化工产业及化工园区，促进皖江城市带率先 实现经济社会发展绿色转型。全面落实长江“十年禁渔” ，打好禁捕退捕持久战，实现“人民保护长江、长江造福人民”的 良性循环。</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积极推动环巢湖生态文明示范区建设，深入推进碧水、 安澜、生态修复、绿色发展、富民共享“五大工程” ，加快实 施“十百千万”行动计划。积极探索山水林田湖草沙一体化保护和修复路径，贯通污染防治和生态保护，努力把巢湖打造 成为大湖治理的典型范例、城湖共生的示范工程。坚持点线 面结合、内外源统筹，深化“四源”同治，突出多点发力，进 一步提升环巢湖区域水生态环境质量，有效保护和合理利用 岸线资源，巩固巢湖禁捕退捕成果。深化“数字巢湖”建设， 完善蓝藻水华预警、应急打捞工作机制，推进把巢湖打造成 合肥“最好的名片”建设。</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16" w:name="_Toc16966"/>
      <w:r>
        <w:rPr>
          <w:rFonts w:cs="Arial"/>
          <w:b/>
          <w:color w:val="000000" w:themeColor="text1"/>
          <w:sz w:val="28"/>
          <w:szCs w:val="28"/>
          <w14:textFill>
            <w14:solidFill>
              <w14:schemeClr w14:val="tx1"/>
            </w14:solidFill>
          </w14:textFill>
        </w:rPr>
        <w:t>（ 二）推动减污降碳协同增效</w:t>
      </w:r>
      <w:bookmarkEnd w:id="16"/>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加快构建减污降碳一体谋划、一体部署、一体推进、一 体考核的制度机制，实施温室气体和污染物协同控制，统筹 有序科学减碳，推广减排措施与适用技术，确保 2030 年前 全省碳达峰目标实现。在减排目标上，实现污染物治理与温 室气体减排目标统筹，做到目标分解协同，努力实现污染物 和温室气体排放强度双降。在任务举措上，深入研判我省石 化、化工、钢铁、电力、有色、建材等主要耗能行业产业布 局、市场空间、产品需求，科学提出行业节能降碳专项方案。 在管理制度上，推进排污许可制度与碳排放交易制度协同， 探索将温室气体排放清单逐步纳入生态环境统计体系。加强 温室气体监测监控监督，推动与气象部门联合建设温室气体 监测网络。</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17" w:name="_Toc30150"/>
      <w:r>
        <w:rPr>
          <w:rFonts w:cs="Arial"/>
          <w:b/>
          <w:color w:val="000000" w:themeColor="text1"/>
          <w:sz w:val="28"/>
          <w:szCs w:val="28"/>
          <w14:textFill>
            <w14:solidFill>
              <w14:schemeClr w14:val="tx1"/>
            </w14:solidFill>
          </w14:textFill>
        </w:rPr>
        <w:t>（ 三）深入打好蓝天碧水净土保卫战</w:t>
      </w:r>
      <w:bookmarkEnd w:id="17"/>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50" w:firstLineChars="200"/>
        <w:textAlignment w:val="baseline"/>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3"/>
          <w:sz w:val="28"/>
          <w:szCs w:val="28"/>
          <w14:textFill>
            <w14:solidFill>
              <w14:schemeClr w14:val="tx1"/>
            </w14:solidFill>
          </w14:textFill>
        </w:rPr>
        <w:t>1．精准施策，持续改善大气环境</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 1 ）坚持分区施策，加强污染协同控制。梯次推进城市空气环境质量改善，已达标的城市，应当加强保护并持续 改善，未达标的城市，制定实施限期达标规划，明确阶段性 改善目标、达标时间表、路线图和实施的重点任务。到 2025 年，已达标城市（芜湖市、宣城市、黄山市、池州市、铜陵 市） 空气环境质量持续改善； 皖北六市（ 淮北市、淮南市、 亳州市、蚌埠市、阜阳市、宿州市） 细颗粒物（PM2.5 ）降幅 高于全省平均； 其余城市（合肥市、安庆市、马鞍山市、六 安市、滁州市） 细颗粒物（PM2.5 ）达标。开展城市、省级交 界市县重污染天气成因及污染物来源精准分析。统筹考虑细 颗粒物（PM2.5 ）和臭氧污染区域传输规律和季节性特征，加 强重点区域、重点时段、重点领域、重点行业治理，强化分 区分时分类差异化和精细化协同管控。</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（2 ）持续推进固定污染源治理。实施窑炉深度治理， 加快推进钢铁、玻璃、铸造、有色、焦化等行业污染深度治 理； 持续推进火电、水泥行业绩效提升改造； 加强自备燃煤 机组污染治理设施运行管控，确保按照超低排放运行； 加强 建材行业全流程无组织排放管控，开展不达标燃煤设施清理 整治，加大皖北地区散煤清理力度，推进农副产品加工领域 散煤治理。强化挥发性有机物（VOCs ）治理精细化管理， 在石化、化工、包装印刷、工业涂装等重点行业建立完善源 头、过程和末端的 VOCs 全过程控制体系，实施 VOCs 排放 总量控制； 全面推进使用低 VOCs 含量涂料、油墨、胶粘剂、 清洗剂等； 加强汽修、干洗、餐饮等生活源 VOCs 综合治理；推进皖北地区胶合板、家具制造等产业集群升级改造，推进 开发区、企业集群因地制宜推广建设涉 VOCs“绿岛”项 目， 推动涂装类统筹规划建设集中涂装中心，活性炭使用量大的 统筹建设活性炭集中处理中心，有机溶剂使用量大的建设溶 剂回收中心。全面推进清洁城市行动，推行绿色施工，强化 道路绿化用地扬尘治理，以煤炭、矿石、干散货码头物料堆 场为重点，推进抑尘设施建设和物料输送系统封闭改造； 依 法严禁秸秆、垃圾等露天焚烧。探索建立大气氨规范化排放 清单，推进养殖业、种植业大气氨减排。扩大重污染天气重 点行业绩效分级和应急减排的实施范围，完善差异化管控机制。</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 3 ）加大移动源污染管控力度。强化源头管控，确保 新车、新机械环保达标； 加快发展新能源车辆，推广使用新 能源和清洁能源非道路移动机械。加大老旧机动车、工程机 械尾气治理改造和限期淘汰力度，基本消除柴油货车和工程 机械冒黑烟现象。加强船舶污染治理，推动船舶尾气处理， 限制高排放船舶使用。完善港口码头岸电设施，提高岸电使 用率。严格执行油品质量标准，加强车用油品、车用尿素、 船用燃料油的监管。严厉打击黑加油站和非法流动加油车。</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 4 ）加强其他污染治理。积极开展消耗臭氧层物质 （ODS ）管理工作，健全 ODS 申报登记、核查和监管制度， 加大执法检查力度，打击违法违规行为。加强恶臭、有毒有害大气污染物防控，提升臭气异味治理水平。严格控制餐饮油烟，依法加大超标排放处罚力度。加强声环境功能区管理</w:t>
      </w:r>
      <w:r>
        <w:rPr>
          <w:rFonts w:hint="eastAsia" w:ascii="Times New Roman" w:hAnsi="Times New Roman" w:eastAsia="宋体" w:cs="Times New Roman"/>
          <w:color w:val="000000" w:themeColor="text1"/>
          <w:spacing w:val="3"/>
          <w:sz w:val="28"/>
          <w:szCs w:val="28"/>
          <w:lang w:eastAsia="zh-CN"/>
          <w14:textFill>
            <w14:solidFill>
              <w14:schemeClr w14:val="tx1"/>
            </w14:solidFill>
          </w14:textFill>
        </w:rPr>
        <w:t>，</w:t>
      </w:r>
      <w:r>
        <w:rPr>
          <w:rFonts w:ascii="Times New Roman" w:hAnsi="Times New Roman" w:eastAsia="Times New Roman" w:cs="Times New Roman"/>
          <w:color w:val="000000" w:themeColor="text1"/>
          <w:spacing w:val="3"/>
          <w:sz w:val="28"/>
          <w:szCs w:val="28"/>
          <w14:textFill>
            <w14:solidFill>
              <w14:schemeClr w14:val="tx1"/>
            </w14:solidFill>
          </w14:textFill>
        </w:rPr>
        <w:t>提升城市噪声敏感区域管控水平，强化夜间施工管理，完善 高架路、快速路、城市轨道、铁路等交通干线隔声屏障等降 噪设施。按照国家有关规定，加强城市照明规划、设计、建 设、运营的全过程管控，落实光污染防控要求。</w:t>
      </w:r>
    </w:p>
    <w:p>
      <w:pPr>
        <w:pageBreakBefore w:val="0"/>
        <w:widowControl/>
        <w:kinsoku w:val="0"/>
        <w:wordWrap/>
        <w:overflowPunct/>
        <w:topLinePunct w:val="0"/>
        <w:autoSpaceDE w:val="0"/>
        <w:autoSpaceDN w:val="0"/>
        <w:bidi w:val="0"/>
        <w:adjustRightInd w:val="0"/>
        <w:snapToGrid w:val="0"/>
        <w:spacing w:line="43" w:lineRule="exact"/>
        <w:rPr>
          <w:color w:val="000000" w:themeColor="text1"/>
          <w:sz w:val="28"/>
          <w:szCs w:val="28"/>
          <w14:textFill>
            <w14:solidFill>
              <w14:schemeClr w14:val="tx1"/>
            </w14:solidFill>
          </w14:textFill>
        </w:rPr>
      </w:pPr>
    </w:p>
    <w:tbl>
      <w:tblPr>
        <w:tblStyle w:val="8"/>
        <w:tblW w:w="88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8887" w:type="dxa"/>
            <w:vAlign w:val="top"/>
          </w:tcPr>
          <w:p>
            <w:pPr>
              <w:pageBreakBefore w:val="0"/>
              <w:widowControl/>
              <w:kinsoku w:val="0"/>
              <w:wordWrap/>
              <w:overflowPunct/>
              <w:topLinePunct w:val="0"/>
              <w:autoSpaceDE w:val="0"/>
              <w:autoSpaceDN w:val="0"/>
              <w:bidi w:val="0"/>
              <w:adjustRightInd w:val="0"/>
              <w:snapToGrid w:val="0"/>
              <w:spacing w:before="284" w:line="206" w:lineRule="auto"/>
              <w:ind w:firstLine="2602"/>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4"/>
                <w:sz w:val="28"/>
                <w:szCs w:val="28"/>
                <w14:textFill>
                  <w14:solidFill>
                    <w14:schemeClr w14:val="tx1"/>
                  </w14:solidFill>
                </w14:textFill>
              </w:rPr>
              <w:t>专栏</w:t>
            </w:r>
            <w:r>
              <w:rPr>
                <w:rFonts w:ascii="黑体" w:hAnsi="黑体" w:eastAsia="黑体" w:cs="黑体"/>
                <w:color w:val="000000" w:themeColor="text1"/>
                <w:spacing w:val="-38"/>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4"/>
                <w:sz w:val="28"/>
                <w:szCs w:val="28"/>
                <w14:textFill>
                  <w14:solidFill>
                    <w14:schemeClr w14:val="tx1"/>
                  </w14:solidFill>
                </w14:textFill>
              </w:rPr>
              <w:t>1</w:t>
            </w:r>
            <w:r>
              <w:rPr>
                <w:rFonts w:ascii="Times New Roman" w:hAnsi="Times New Roman" w:eastAsia="Times New Roman" w:cs="Times New Roman"/>
                <w:color w:val="000000" w:themeColor="text1"/>
                <w:spacing w:val="6"/>
                <w:sz w:val="28"/>
                <w:szCs w:val="28"/>
                <w14:textFill>
                  <w14:solidFill>
                    <w14:schemeClr w14:val="tx1"/>
                  </w14:solidFill>
                </w14:textFill>
              </w:rPr>
              <w:t xml:space="preserve">  </w:t>
            </w:r>
            <w:r>
              <w:rPr>
                <w:rFonts w:ascii="黑体" w:hAnsi="黑体" w:eastAsia="黑体" w:cs="黑体"/>
                <w:color w:val="000000" w:themeColor="text1"/>
                <w:spacing w:val="-4"/>
                <w:sz w:val="28"/>
                <w:szCs w:val="28"/>
                <w14:textFill>
                  <w14:solidFill>
                    <w14:schemeClr w14:val="tx1"/>
                  </w14:solidFill>
                </w14:textFill>
              </w:rPr>
              <w:t>重点行业大气污染治理工程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5" w:hRule="atLeast"/>
        </w:trPr>
        <w:tc>
          <w:tcPr>
            <w:tcW w:w="8887" w:type="dxa"/>
            <w:vAlign w:val="top"/>
          </w:tcPr>
          <w:p>
            <w:pPr>
              <w:pageBreakBefore w:val="0"/>
              <w:widowControl/>
              <w:kinsoku w:val="0"/>
              <w:wordWrap/>
              <w:overflowPunct/>
              <w:topLinePunct w:val="0"/>
              <w:autoSpaceDE w:val="0"/>
              <w:autoSpaceDN w:val="0"/>
              <w:bidi w:val="0"/>
              <w:adjustRightInd w:val="0"/>
              <w:snapToGrid w:val="0"/>
              <w:spacing w:before="238" w:line="331" w:lineRule="auto"/>
              <w:ind w:left="126" w:right="104" w:firstLine="562"/>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2"/>
                <w:sz w:val="28"/>
                <w:szCs w:val="28"/>
                <w14:textOutline w14:w="5103" w14:cap="sq" w14:cmpd="sng">
                  <w14:solidFill>
                    <w14:srgbClr w14:val="000000"/>
                  </w14:solidFill>
                  <w14:prstDash w14:val="solid"/>
                  <w14:bevel/>
                </w14:textOutline>
                <w14:textFill>
                  <w14:solidFill>
                    <w14:schemeClr w14:val="tx1"/>
                  </w14:solidFill>
                </w14:textFill>
              </w:rPr>
              <w:t>工业炉窑深度治理。</w:t>
            </w:r>
            <w:r>
              <w:rPr>
                <w:rFonts w:ascii="黑体" w:hAnsi="黑体" w:eastAsia="黑体" w:cs="黑体"/>
                <w:color w:val="000000" w:themeColor="text1"/>
                <w:spacing w:val="-2"/>
                <w:sz w:val="28"/>
                <w:szCs w:val="28"/>
                <w14:textFill>
                  <w14:solidFill>
                    <w14:schemeClr w14:val="tx1"/>
                  </w14:solidFill>
                </w14:textFill>
              </w:rPr>
              <w:t>推进各类燃煤设施清洁燃料替代，开展玻璃、</w:t>
            </w:r>
            <w:r>
              <w:rPr>
                <w:rFonts w:ascii="黑体" w:hAnsi="黑体" w:eastAsia="黑体" w:cs="黑体"/>
                <w:color w:val="000000" w:themeColor="text1"/>
                <w:spacing w:val="27"/>
                <w:sz w:val="28"/>
                <w:szCs w:val="28"/>
                <w14:textFill>
                  <w14:solidFill>
                    <w14:schemeClr w14:val="tx1"/>
                  </w14:solidFill>
                </w14:textFill>
              </w:rPr>
              <w:t xml:space="preserve"> </w:t>
            </w:r>
            <w:r>
              <w:rPr>
                <w:rFonts w:ascii="黑体" w:hAnsi="黑体" w:eastAsia="黑体" w:cs="黑体"/>
                <w:color w:val="000000" w:themeColor="text1"/>
                <w:spacing w:val="-1"/>
                <w:sz w:val="28"/>
                <w:szCs w:val="28"/>
                <w14:textFill>
                  <w14:solidFill>
                    <w14:schemeClr w14:val="tx1"/>
                  </w14:solidFill>
                </w14:textFill>
              </w:rPr>
              <w:t>陶瓷、铸造、有色金属冶炼等行业深度治理工程。推动火电、水泥等行</w:t>
            </w:r>
            <w:r>
              <w:rPr>
                <w:rFonts w:ascii="黑体" w:hAnsi="黑体" w:eastAsia="黑体" w:cs="黑体"/>
                <w:color w:val="000000" w:themeColor="text1"/>
                <w:spacing w:val="2"/>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业污染治理设施提升工程。</w:t>
            </w:r>
          </w:p>
          <w:p>
            <w:pPr>
              <w:pageBreakBefore w:val="0"/>
              <w:widowControl/>
              <w:kinsoku w:val="0"/>
              <w:wordWrap/>
              <w:overflowPunct/>
              <w:topLinePunct w:val="0"/>
              <w:autoSpaceDE w:val="0"/>
              <w:autoSpaceDN w:val="0"/>
              <w:bidi w:val="0"/>
              <w:adjustRightInd w:val="0"/>
              <w:snapToGrid w:val="0"/>
              <w:spacing w:before="293" w:line="396" w:lineRule="auto"/>
              <w:ind w:left="115" w:firstLine="554"/>
              <w:rPr>
                <w:rFonts w:ascii="黑体" w:hAnsi="黑体" w:eastAsia="黑体" w:cs="黑体"/>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pacing w:val="-5"/>
                <w:sz w:val="28"/>
                <w:szCs w:val="28"/>
                <w14:textFill>
                  <w14:solidFill>
                    <w14:schemeClr w14:val="tx1"/>
                  </w14:solidFill>
                </w14:textFill>
              </w:rPr>
              <w:t>VOCs</w:t>
            </w:r>
            <w:r>
              <w:rPr>
                <w:rFonts w:ascii="Times New Roman" w:hAnsi="Times New Roman" w:eastAsia="Times New Roman" w:cs="Times New Roman"/>
                <w:color w:val="000000" w:themeColor="text1"/>
                <w:spacing w:val="33"/>
                <w:sz w:val="28"/>
                <w:szCs w:val="28"/>
                <w14:textFill>
                  <w14:solidFill>
                    <w14:schemeClr w14:val="tx1"/>
                  </w14:solidFill>
                </w14:textFill>
              </w:rPr>
              <w:t xml:space="preserve"> </w:t>
            </w:r>
            <w:r>
              <w:rPr>
                <w:rFonts w:ascii="黑体" w:hAnsi="黑体" w:eastAsia="黑体" w:cs="黑体"/>
                <w:color w:val="000000" w:themeColor="text1"/>
                <w:spacing w:val="-5"/>
                <w:sz w:val="28"/>
                <w:szCs w:val="28"/>
                <w14:textOutline w14:w="5100" w14:cap="sq" w14:cmpd="sng">
                  <w14:solidFill>
                    <w14:srgbClr w14:val="000000"/>
                  </w14:solidFill>
                  <w14:prstDash w14:val="solid"/>
                  <w14:bevel/>
                </w14:textOutline>
                <w14:textFill>
                  <w14:solidFill>
                    <w14:schemeClr w14:val="tx1"/>
                  </w14:solidFill>
                </w14:textFill>
              </w:rPr>
              <w:t>综合治理工程。</w:t>
            </w:r>
            <w:r>
              <w:rPr>
                <w:rFonts w:ascii="黑体" w:hAnsi="黑体" w:eastAsia="黑体" w:cs="黑体"/>
                <w:color w:val="000000" w:themeColor="text1"/>
                <w:spacing w:val="-5"/>
                <w:sz w:val="28"/>
                <w:szCs w:val="28"/>
                <w14:textFill>
                  <w14:solidFill>
                    <w14:schemeClr w14:val="tx1"/>
                  </w14:solidFill>
                </w14:textFill>
              </w:rPr>
              <w:t>推进重点行业实施挥发性有机物（</w:t>
            </w:r>
            <w:r>
              <w:rPr>
                <w:rFonts w:ascii="Times New Roman" w:hAnsi="Times New Roman" w:eastAsia="Times New Roman" w:cs="Times New Roman"/>
                <w:color w:val="000000" w:themeColor="text1"/>
                <w:spacing w:val="-5"/>
                <w:sz w:val="28"/>
                <w:szCs w:val="28"/>
                <w14:textFill>
                  <w14:solidFill>
                    <w14:schemeClr w14:val="tx1"/>
                  </w14:solidFill>
                </w14:textFill>
              </w:rPr>
              <w:t>VOCs</w:t>
            </w:r>
            <w:r>
              <w:rPr>
                <w:rFonts w:ascii="Times New Roman" w:hAnsi="Times New Roman" w:eastAsia="Times New Roman" w:cs="Times New Roman"/>
                <w:color w:val="000000" w:themeColor="text1"/>
                <w:spacing w:val="-26"/>
                <w:sz w:val="28"/>
                <w:szCs w:val="28"/>
                <w14:textFill>
                  <w14:solidFill>
                    <w14:schemeClr w14:val="tx1"/>
                  </w14:solidFill>
                </w14:textFill>
              </w:rPr>
              <w:t xml:space="preserve"> </w:t>
            </w:r>
            <w:r>
              <w:rPr>
                <w:rFonts w:ascii="黑体" w:hAnsi="黑体" w:eastAsia="黑体" w:cs="黑体"/>
                <w:color w:val="000000" w:themeColor="text1"/>
                <w:spacing w:val="-5"/>
                <w:sz w:val="28"/>
                <w:szCs w:val="28"/>
                <w14:textFill>
                  <w14:solidFill>
                    <w14:schemeClr w14:val="tx1"/>
                  </w14:solidFill>
                </w14:textFill>
              </w:rPr>
              <w:t>）综</w:t>
            </w:r>
            <w:r>
              <w:rPr>
                <w:rFonts w:ascii="黑体" w:hAnsi="黑体" w:eastAsia="黑体" w:cs="黑体"/>
                <w:color w:val="000000" w:themeColor="text1"/>
                <w:sz w:val="28"/>
                <w:szCs w:val="28"/>
                <w14:textFill>
                  <w14:solidFill>
                    <w14:schemeClr w14:val="tx1"/>
                  </w14:solidFill>
                </w14:textFill>
              </w:rPr>
              <w:t xml:space="preserve"> </w:t>
            </w:r>
            <w:r>
              <w:rPr>
                <w:rFonts w:ascii="黑体" w:hAnsi="黑体" w:eastAsia="黑体" w:cs="黑体"/>
                <w:color w:val="000000" w:themeColor="text1"/>
                <w:spacing w:val="-5"/>
                <w:sz w:val="28"/>
                <w:szCs w:val="28"/>
                <w14:textFill>
                  <w14:solidFill>
                    <w14:schemeClr w14:val="tx1"/>
                  </w14:solidFill>
                </w14:textFill>
              </w:rPr>
              <w:t>合治理工程。</w:t>
            </w:r>
            <w:r>
              <w:rPr>
                <w:rFonts w:ascii="Times New Roman" w:hAnsi="Times New Roman" w:eastAsia="Times New Roman" w:cs="Times New Roman"/>
                <w:color w:val="000000" w:themeColor="text1"/>
                <w:spacing w:val="-5"/>
                <w:sz w:val="28"/>
                <w:szCs w:val="28"/>
                <w14:textFill>
                  <w14:solidFill>
                    <w14:schemeClr w14:val="tx1"/>
                  </w14:solidFill>
                </w14:textFill>
              </w:rPr>
              <w:t>VOCs</w:t>
            </w:r>
            <w:r>
              <w:rPr>
                <w:rFonts w:ascii="Times New Roman" w:hAnsi="Times New Roman" w:eastAsia="Times New Roman" w:cs="Times New Roman"/>
                <w:color w:val="000000" w:themeColor="text1"/>
                <w:spacing w:val="41"/>
                <w:sz w:val="28"/>
                <w:szCs w:val="28"/>
                <w14:textFill>
                  <w14:solidFill>
                    <w14:schemeClr w14:val="tx1"/>
                  </w14:solidFill>
                </w14:textFill>
              </w:rPr>
              <w:t xml:space="preserve"> </w:t>
            </w:r>
            <w:r>
              <w:rPr>
                <w:rFonts w:ascii="黑体" w:hAnsi="黑体" w:eastAsia="黑体" w:cs="黑体"/>
                <w:color w:val="000000" w:themeColor="text1"/>
                <w:spacing w:val="-5"/>
                <w:sz w:val="28"/>
                <w:szCs w:val="28"/>
                <w14:textFill>
                  <w14:solidFill>
                    <w14:schemeClr w14:val="tx1"/>
                  </w14:solidFill>
                </w14:textFill>
              </w:rPr>
              <w:t>量大的开发区和企业集群区试点建设集中涂装中心、</w:t>
            </w:r>
            <w:r>
              <w:rPr>
                <w:rFonts w:ascii="黑体" w:hAnsi="黑体" w:eastAsia="黑体" w:cs="黑体"/>
                <w:color w:val="000000" w:themeColor="text1"/>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活性炭集中处理中心、溶剂回收中心等，实现</w:t>
            </w:r>
            <w:r>
              <w:rPr>
                <w:rFonts w:ascii="黑体" w:hAnsi="黑体" w:eastAsia="黑体" w:cs="黑体"/>
                <w:color w:val="000000" w:themeColor="text1"/>
                <w:spacing w:val="-41"/>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2"/>
                <w:sz w:val="28"/>
                <w:szCs w:val="28"/>
                <w14:textFill>
                  <w14:solidFill>
                    <w14:schemeClr w14:val="tx1"/>
                  </w14:solidFill>
                </w14:textFill>
              </w:rPr>
              <w:t>VOCs</w:t>
            </w:r>
            <w:r>
              <w:rPr>
                <w:rFonts w:ascii="Times New Roman" w:hAnsi="Times New Roman" w:eastAsia="Times New Roman" w:cs="Times New Roman"/>
                <w:color w:val="000000" w:themeColor="text1"/>
                <w:spacing w:val="20"/>
                <w:w w:val="101"/>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集中高效处理。</w:t>
            </w:r>
          </w:p>
          <w:p>
            <w:pPr>
              <w:pageBreakBefore w:val="0"/>
              <w:widowControl/>
              <w:kinsoku w:val="0"/>
              <w:wordWrap/>
              <w:overflowPunct/>
              <w:topLinePunct w:val="0"/>
              <w:autoSpaceDE w:val="0"/>
              <w:autoSpaceDN w:val="0"/>
              <w:bidi w:val="0"/>
              <w:adjustRightInd w:val="0"/>
              <w:snapToGrid w:val="0"/>
              <w:spacing w:line="204" w:lineRule="auto"/>
              <w:ind w:firstLine="681"/>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1"/>
                <w:sz w:val="28"/>
                <w:szCs w:val="28"/>
                <w14:textOutline w14:w="5103" w14:cap="sq" w14:cmpd="sng">
                  <w14:solidFill>
                    <w14:srgbClr w14:val="000000"/>
                  </w14:solidFill>
                  <w14:prstDash w14:val="solid"/>
                  <w14:bevel/>
                </w14:textOutline>
                <w14:textFill>
                  <w14:solidFill>
                    <w14:schemeClr w14:val="tx1"/>
                  </w14:solidFill>
                </w14:textFill>
              </w:rPr>
              <w:t>移动源污染治理工程。</w:t>
            </w:r>
            <w:r>
              <w:rPr>
                <w:rFonts w:ascii="黑体" w:hAnsi="黑体" w:eastAsia="黑体" w:cs="黑体"/>
                <w:color w:val="000000" w:themeColor="text1"/>
                <w:spacing w:val="-1"/>
                <w:sz w:val="28"/>
                <w:szCs w:val="28"/>
                <w14:textFill>
                  <w14:solidFill>
                    <w14:schemeClr w14:val="tx1"/>
                  </w14:solidFill>
                </w14:textFill>
              </w:rPr>
              <w:t>推动老旧机动车、船舶和非道路移动机械淘</w:t>
            </w:r>
          </w:p>
          <w:p>
            <w:pPr>
              <w:pageBreakBefore w:val="0"/>
              <w:widowControl/>
              <w:kinsoku w:val="0"/>
              <w:wordWrap/>
              <w:overflowPunct/>
              <w:topLinePunct w:val="0"/>
              <w:autoSpaceDE w:val="0"/>
              <w:autoSpaceDN w:val="0"/>
              <w:bidi w:val="0"/>
              <w:adjustRightInd w:val="0"/>
              <w:snapToGrid w:val="0"/>
              <w:spacing w:before="291" w:line="298" w:lineRule="auto"/>
              <w:ind w:left="161" w:right="106" w:hanging="35"/>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2"/>
                <w:sz w:val="28"/>
                <w:szCs w:val="28"/>
                <w14:textFill>
                  <w14:solidFill>
                    <w14:schemeClr w14:val="tx1"/>
                  </w14:solidFill>
                </w14:textFill>
              </w:rPr>
              <w:t>汰，推广使用清洁能源车辆、船舶和非道路移动机械替代工程。实施港</w:t>
            </w:r>
            <w:r>
              <w:rPr>
                <w:rFonts w:ascii="黑体" w:hAnsi="黑体" w:eastAsia="黑体" w:cs="黑体"/>
                <w:color w:val="000000" w:themeColor="text1"/>
                <w:spacing w:val="30"/>
                <w:sz w:val="28"/>
                <w:szCs w:val="28"/>
                <w14:textFill>
                  <w14:solidFill>
                    <w14:schemeClr w14:val="tx1"/>
                  </w14:solidFill>
                </w14:textFill>
              </w:rPr>
              <w:t xml:space="preserve"> </w:t>
            </w:r>
            <w:r>
              <w:rPr>
                <w:rFonts w:ascii="黑体" w:hAnsi="黑体" w:eastAsia="黑体" w:cs="黑体"/>
                <w:color w:val="000000" w:themeColor="text1"/>
                <w:spacing w:val="-5"/>
                <w:sz w:val="28"/>
                <w:szCs w:val="28"/>
                <w14:textFill>
                  <w14:solidFill>
                    <w14:schemeClr w14:val="tx1"/>
                  </w14:solidFill>
                </w14:textFill>
              </w:rPr>
              <w:t>口码头岸电设施提升工程。</w:t>
            </w:r>
          </w:p>
          <w:p>
            <w:pPr>
              <w:pageBreakBefore w:val="0"/>
              <w:widowControl/>
              <w:kinsoku w:val="0"/>
              <w:wordWrap/>
              <w:overflowPunct/>
              <w:topLinePunct w:val="0"/>
              <w:autoSpaceDE w:val="0"/>
              <w:autoSpaceDN w:val="0"/>
              <w:bidi w:val="0"/>
              <w:adjustRightInd w:val="0"/>
              <w:snapToGrid w:val="0"/>
              <w:spacing w:before="296" w:line="298" w:lineRule="auto"/>
              <w:ind w:left="122" w:right="104" w:firstLine="577"/>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2"/>
                <w:sz w:val="28"/>
                <w:szCs w:val="28"/>
                <w14:textOutline w14:w="5103" w14:cap="sq" w14:cmpd="sng">
                  <w14:solidFill>
                    <w14:srgbClr w14:val="000000"/>
                  </w14:solidFill>
                  <w14:prstDash w14:val="solid"/>
                  <w14:bevel/>
                </w14:textOutline>
                <w14:textFill>
                  <w14:solidFill>
                    <w14:schemeClr w14:val="tx1"/>
                  </w14:solidFill>
                </w14:textFill>
              </w:rPr>
              <w:t>面源污染治理工程。</w:t>
            </w:r>
            <w:r>
              <w:rPr>
                <w:rFonts w:ascii="黑体" w:hAnsi="黑体" w:eastAsia="黑体" w:cs="黑体"/>
                <w:color w:val="000000" w:themeColor="text1"/>
                <w:spacing w:val="-2"/>
                <w:sz w:val="28"/>
                <w:szCs w:val="28"/>
                <w14:textFill>
                  <w14:solidFill>
                    <w14:schemeClr w14:val="tx1"/>
                  </w14:solidFill>
                </w14:textFill>
              </w:rPr>
              <w:t>实施施工工地在线监测监控工程、易扬尘物料</w:t>
            </w:r>
            <w:r>
              <w:rPr>
                <w:rFonts w:ascii="黑体" w:hAnsi="黑体" w:eastAsia="黑体" w:cs="黑体"/>
                <w:color w:val="000000" w:themeColor="text1"/>
                <w:spacing w:val="16"/>
                <w:sz w:val="28"/>
                <w:szCs w:val="28"/>
                <w14:textFill>
                  <w14:solidFill>
                    <w14:schemeClr w14:val="tx1"/>
                  </w14:solidFill>
                </w14:textFill>
              </w:rPr>
              <w:t xml:space="preserve"> </w:t>
            </w:r>
            <w:r>
              <w:rPr>
                <w:rFonts w:ascii="黑体" w:hAnsi="黑体" w:eastAsia="黑体" w:cs="黑体"/>
                <w:color w:val="000000" w:themeColor="text1"/>
                <w:spacing w:val="-1"/>
                <w:sz w:val="28"/>
                <w:szCs w:val="28"/>
                <w14:textFill>
                  <w14:solidFill>
                    <w14:schemeClr w14:val="tx1"/>
                  </w14:solidFill>
                </w14:textFill>
              </w:rPr>
              <w:t>输送密闭工程、秸秆综合利用和规模化畜禽养殖场粪污处理工程。</w:t>
            </w:r>
          </w:p>
        </w:tc>
      </w:tr>
    </w:tbl>
    <w:p>
      <w:pPr>
        <w:bidi w:val="0"/>
        <w:rPr>
          <w:rFonts w:hint="eastAsia"/>
          <w:color w:val="000000" w:themeColor="text1"/>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50" w:firstLineChars="200"/>
        <w:textAlignment w:val="baseline"/>
        <w:rPr>
          <w:rFonts w:hint="eastAsia" w:ascii="宋体" w:hAnsi="宋体" w:eastAsia="宋体" w:cs="宋体"/>
          <w:b/>
          <w:bCs/>
          <w:color w:val="000000" w:themeColor="text1"/>
          <w:spacing w:val="-3"/>
          <w:sz w:val="28"/>
          <w:szCs w:val="28"/>
          <w14:textFill>
            <w14:solidFill>
              <w14:schemeClr w14:val="tx1"/>
            </w14:solidFill>
          </w14:textFill>
        </w:rPr>
      </w:pPr>
      <w:r>
        <w:rPr>
          <w:rFonts w:hint="eastAsia" w:ascii="宋体" w:hAnsi="宋体" w:eastAsia="宋体" w:cs="宋体"/>
          <w:b/>
          <w:bCs/>
          <w:color w:val="000000" w:themeColor="text1"/>
          <w:spacing w:val="-3"/>
          <w:sz w:val="28"/>
          <w:szCs w:val="28"/>
          <w14:textFill>
            <w14:solidFill>
              <w14:schemeClr w14:val="tx1"/>
            </w14:solidFill>
          </w14:textFill>
        </w:rPr>
        <w:t>2</w:t>
      </w:r>
      <w:r>
        <w:rPr>
          <w:rFonts w:hint="eastAsia" w:ascii="宋体" w:hAnsi="宋体" w:eastAsia="宋体" w:cs="宋体"/>
          <w:b/>
          <w:bCs/>
          <w:color w:val="000000" w:themeColor="text1"/>
          <w:spacing w:val="-3"/>
          <w:sz w:val="28"/>
          <w:szCs w:val="28"/>
          <w:lang w:val="en-US" w:eastAsia="zh-CN"/>
          <w14:textFill>
            <w14:solidFill>
              <w14:schemeClr w14:val="tx1"/>
            </w14:solidFill>
          </w14:textFill>
        </w:rPr>
        <w:t>.</w:t>
      </w:r>
      <w:r>
        <w:rPr>
          <w:rFonts w:hint="eastAsia" w:ascii="宋体" w:hAnsi="宋体" w:eastAsia="宋体" w:cs="宋体"/>
          <w:b/>
          <w:bCs/>
          <w:color w:val="000000" w:themeColor="text1"/>
          <w:spacing w:val="-3"/>
          <w:sz w:val="28"/>
          <w:szCs w:val="28"/>
          <w14:textFill>
            <w14:solidFill>
              <w14:schemeClr w14:val="tx1"/>
            </w14:solidFill>
          </w14:textFill>
        </w:rPr>
        <w:t>系统治理，稳步提升水生态环境</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 1 ）全方位保障饮用水安全。巩固城市饮用水水源保护与治理成果，以县级及以上城市集中式饮用水水源地为重点，加强饮用水水源地规范化建设，因地制宜实施保护区整 治与生态修复、保护区内风险源应急防控、湖库型水源地富营养化控制与水华防治、水源地预警监测和监控能力建设。</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持续加强农村集中式饮用水水源保护，推进“千吨万人”及其他乡镇级饮用水水源地水质提升工作，实施“皖北地区群众喝 上引调水”工程。开展不达标水源地专项治理行动，加快实施 城乡供水以地表水替换地下水水源，推进城乡供水一体化。 到 2025 年，设区市实现市级地表水集中式饮用水水源全覆 盖，集中式饮用水水源水质达标率稳步提升。加快推进饮用 水水源保护区规范化建设，完成保护区边界矢量数据制作， 定期开展水质监测和饮用水水源环境状况调查评估，持续开展饮用水水源保护区突出环境问题排查、整治。完善饮用水 水源风险防控体系建设，加强饮用水水源预警监测自动站建 设和运行管理，严格饮用水水源周边有毒有害物质全过程监管，组织开展突发环境事件应急演练。</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（2 ）优化实施地表水生态环境质量目标管理。加强精细化管理，构建基于流域的责任管理体系，依托河（湖） 长 制，将水生态环境保护责任层层分解。持续改善长江、淮河、 巢湖、引江济淮通道水体水质，稳定保持新安江水环境质量。 持续巩固水质优良水体保护，推进“美丽河湖”保护与建设。 强化国家考核断面水质目标管理，逐一排查达标状况，未达 到水质目标要求的地区，应依法制定并实施限期达标规划或 方案。依托排污许可证制度，建立“水体—入河排污 口—排污管线—污染源”全链条水污染物排放管理体系。</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 3 ）持续深化水污染治理。继续以重点排污企业和开 发区为重点，推进污水处理设施分类管控。以补足城镇污水收集和处理设施短板为重点，持续实施污水处理提质增效行 动，加大生活污水处理设施、配套管网建设和改造力度，推 进污泥无害化资源化处理处置。持续推进县级及以上城市建 成区黑臭水体治理，编制黑臭水体整治清单，制定实施整治方案，到 2025 年，基本消除县级城市建成区黑臭水体。以降低氮磷负荷为重点，持续推进农业源污染控制。加强内河港 口、船舶污染控制，完善内河港口船舶污染物接收转运处 置设施，协同推进内河货船生活污水污染防治。</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（4 ）切实推进生态扩容。按照“有河有水、有鱼有草、 人水和谐”要求，统筹做好水环境保护、水生态恢复和水资源 节约集约工作。加强饮用水水源地、自然保护地、“三场一通 道”、水生野生动植物栖息地等重要水体生态保护与恢复。推 进河湖生态缓冲带建设。推进污水处理厂尾水生态湿地建 设，按照“污染防治—循环利用— 生态保护”相结合的思路， 因地制宜启动实施一批区域再生水循环利用试点，推进区域 再生水循环利用。加强河湖水系连通，加强生态流量保障工 程建设和运行管理 ，提高水体流动性和自净能力。到 2025 年，生态流量管理措施全面落实，重要河流生态流量得到有力保障，重要湖泊生态水位得到有效维持，土著鱼类逐步恢复，水生生物多样性提高，水生态系统稳定性明显增强。</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43" w:lineRule="exact"/>
        <w:rPr>
          <w:color w:val="000000" w:themeColor="text1"/>
          <w:sz w:val="28"/>
          <w:szCs w:val="28"/>
          <w14:textFill>
            <w14:solidFill>
              <w14:schemeClr w14:val="tx1"/>
            </w14:solidFill>
          </w14:textFill>
        </w:rPr>
      </w:pPr>
    </w:p>
    <w:tbl>
      <w:tblPr>
        <w:tblStyle w:val="8"/>
        <w:tblW w:w="8879" w:type="dxa"/>
        <w:tblInd w:w="6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8879" w:type="dxa"/>
            <w:vAlign w:val="top"/>
          </w:tcPr>
          <w:p>
            <w:pPr>
              <w:pageBreakBefore w:val="0"/>
              <w:widowControl/>
              <w:kinsoku w:val="0"/>
              <w:wordWrap/>
              <w:overflowPunct/>
              <w:topLinePunct w:val="0"/>
              <w:autoSpaceDE w:val="0"/>
              <w:autoSpaceDN w:val="0"/>
              <w:bidi w:val="0"/>
              <w:adjustRightInd w:val="0"/>
              <w:snapToGrid w:val="0"/>
              <w:spacing w:before="234" w:line="206" w:lineRule="auto"/>
              <w:ind w:firstLine="2737"/>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2"/>
                <w:sz w:val="28"/>
                <w:szCs w:val="28"/>
                <w14:textFill>
                  <w14:solidFill>
                    <w14:schemeClr w14:val="tx1"/>
                  </w14:solidFill>
                </w14:textFill>
              </w:rPr>
              <w:t>专栏</w:t>
            </w:r>
            <w:r>
              <w:rPr>
                <w:rFonts w:ascii="黑体" w:hAnsi="黑体" w:eastAsia="黑体" w:cs="黑体"/>
                <w:color w:val="000000" w:themeColor="text1"/>
                <w:spacing w:val="-63"/>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2"/>
                <w:sz w:val="28"/>
                <w:szCs w:val="28"/>
                <w14:textFill>
                  <w14:solidFill>
                    <w14:schemeClr w14:val="tx1"/>
                  </w14:solidFill>
                </w14:textFill>
              </w:rPr>
              <w:t>2</w:t>
            </w:r>
            <w:r>
              <w:rPr>
                <w:rFonts w:ascii="Times New Roman" w:hAnsi="Times New Roman" w:eastAsia="Times New Roman" w:cs="Times New Roman"/>
                <w:color w:val="000000" w:themeColor="text1"/>
                <w:spacing w:val="4"/>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水生态环境提升重大工程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4" w:hRule="atLeast"/>
        </w:trPr>
        <w:tc>
          <w:tcPr>
            <w:tcW w:w="8879" w:type="dxa"/>
            <w:vAlign w:val="top"/>
          </w:tcPr>
          <w:p>
            <w:pPr>
              <w:pageBreakBefore w:val="0"/>
              <w:widowControl/>
              <w:kinsoku w:val="0"/>
              <w:wordWrap/>
              <w:overflowPunct/>
              <w:topLinePunct w:val="0"/>
              <w:autoSpaceDE w:val="0"/>
              <w:autoSpaceDN w:val="0"/>
              <w:bidi w:val="0"/>
              <w:adjustRightInd w:val="0"/>
              <w:snapToGrid w:val="0"/>
              <w:spacing w:before="240" w:line="298" w:lineRule="auto"/>
              <w:ind w:left="117" w:right="105" w:firstLine="554"/>
              <w:jc w:val="both"/>
              <w:rPr>
                <w:rFonts w:ascii="黑体" w:hAnsi="黑体" w:eastAsia="黑体" w:cs="黑体"/>
                <w:color w:val="000000" w:themeColor="text1"/>
                <w:spacing w:val="-1"/>
                <w:sz w:val="28"/>
                <w:szCs w:val="28"/>
                <w14:textFill>
                  <w14:solidFill>
                    <w14:schemeClr w14:val="tx1"/>
                  </w14:solidFill>
                </w14:textFill>
              </w:rPr>
            </w:pPr>
            <w:r>
              <w:rPr>
                <w:rFonts w:ascii="黑体" w:hAnsi="黑体" w:eastAsia="黑体" w:cs="黑体"/>
                <w:color w:val="000000" w:themeColor="text1"/>
                <w:spacing w:val="-1"/>
                <w:sz w:val="28"/>
                <w:szCs w:val="28"/>
                <w14:textOutline w14:w="5103" w14:cap="sq" w14:cmpd="sng">
                  <w14:solidFill>
                    <w14:srgbClr w14:val="000000"/>
                  </w14:solidFill>
                  <w14:prstDash w14:val="solid"/>
                  <w14:bevel/>
                </w14:textOutline>
                <w14:textFill>
                  <w14:solidFill>
                    <w14:schemeClr w14:val="tx1"/>
                  </w14:solidFill>
                </w14:textFill>
              </w:rPr>
              <w:t>饮用水水源保护。</w:t>
            </w:r>
            <w:r>
              <w:rPr>
                <w:rFonts w:ascii="黑体" w:hAnsi="黑体" w:eastAsia="黑体" w:cs="黑体"/>
                <w:color w:val="000000" w:themeColor="text1"/>
                <w:spacing w:val="-1"/>
                <w:sz w:val="28"/>
                <w:szCs w:val="28"/>
                <w14:textFill>
                  <w14:solidFill>
                    <w14:schemeClr w14:val="tx1"/>
                  </w14:solidFill>
                </w14:textFill>
              </w:rPr>
              <w:t>实施饮用水水源地规范化建设、不达标水源地达</w:t>
            </w:r>
            <w:r>
              <w:rPr>
                <w:rFonts w:ascii="黑体" w:hAnsi="黑体" w:eastAsia="黑体" w:cs="黑体"/>
                <w:color w:val="000000" w:themeColor="text1"/>
                <w:spacing w:val="5"/>
                <w:sz w:val="28"/>
                <w:szCs w:val="28"/>
                <w14:textFill>
                  <w14:solidFill>
                    <w14:schemeClr w14:val="tx1"/>
                  </w14:solidFill>
                </w14:textFill>
              </w:rPr>
              <w:t xml:space="preserve"> </w:t>
            </w:r>
            <w:r>
              <w:rPr>
                <w:rFonts w:ascii="黑体" w:hAnsi="黑体" w:eastAsia="黑体" w:cs="黑体"/>
                <w:color w:val="000000" w:themeColor="text1"/>
                <w:spacing w:val="-1"/>
                <w:sz w:val="28"/>
                <w:szCs w:val="28"/>
                <w14:textFill>
                  <w14:solidFill>
                    <w14:schemeClr w14:val="tx1"/>
                  </w14:solidFill>
                </w14:textFill>
              </w:rPr>
              <w:t>标治理工程、</w:t>
            </w:r>
            <w:r>
              <w:rPr>
                <w:rFonts w:ascii="Times New Roman" w:hAnsi="Times New Roman" w:eastAsia="Times New Roman" w:cs="Times New Roman"/>
                <w:color w:val="000000" w:themeColor="text1"/>
                <w:spacing w:val="-1"/>
                <w:sz w:val="28"/>
                <w:szCs w:val="28"/>
                <w14:textFill>
                  <w14:solidFill>
                    <w14:schemeClr w14:val="tx1"/>
                  </w14:solidFill>
                </w14:textFill>
              </w:rPr>
              <w:t>“</w:t>
            </w:r>
            <w:r>
              <w:rPr>
                <w:rFonts w:ascii="黑体" w:hAnsi="黑体" w:eastAsia="黑体" w:cs="黑体"/>
                <w:color w:val="000000" w:themeColor="text1"/>
                <w:spacing w:val="-1"/>
                <w:sz w:val="28"/>
                <w:szCs w:val="28"/>
                <w14:textFill>
                  <w14:solidFill>
                    <w14:schemeClr w14:val="tx1"/>
                  </w14:solidFill>
                </w14:textFill>
              </w:rPr>
              <w:t>皖北地区群众喝上引调水</w:t>
            </w:r>
            <w:r>
              <w:rPr>
                <w:rFonts w:ascii="Times New Roman" w:hAnsi="Times New Roman" w:eastAsia="Times New Roman" w:cs="Times New Roman"/>
                <w:color w:val="000000" w:themeColor="text1"/>
                <w:spacing w:val="-1"/>
                <w:sz w:val="28"/>
                <w:szCs w:val="28"/>
                <w14:textFill>
                  <w14:solidFill>
                    <w14:schemeClr w14:val="tx1"/>
                  </w14:solidFill>
                </w14:textFill>
              </w:rPr>
              <w:t>”</w:t>
            </w:r>
            <w:r>
              <w:rPr>
                <w:rFonts w:ascii="黑体" w:hAnsi="黑体" w:eastAsia="黑体" w:cs="黑体"/>
                <w:color w:val="000000" w:themeColor="text1"/>
                <w:spacing w:val="-1"/>
                <w:sz w:val="28"/>
                <w:szCs w:val="28"/>
                <w14:textFill>
                  <w14:solidFill>
                    <w14:schemeClr w14:val="tx1"/>
                  </w14:solidFill>
                </w14:textFill>
              </w:rPr>
              <w:t>工程。</w:t>
            </w:r>
          </w:p>
          <w:p>
            <w:pPr>
              <w:pageBreakBefore w:val="0"/>
              <w:widowControl/>
              <w:kinsoku w:val="0"/>
              <w:wordWrap/>
              <w:overflowPunct/>
              <w:topLinePunct w:val="0"/>
              <w:autoSpaceDE w:val="0"/>
              <w:autoSpaceDN w:val="0"/>
              <w:bidi w:val="0"/>
              <w:adjustRightInd w:val="0"/>
              <w:snapToGrid w:val="0"/>
              <w:spacing w:before="244" w:line="393" w:lineRule="auto"/>
              <w:ind w:left="114" w:firstLine="572"/>
              <w:jc w:val="both"/>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8"/>
                <w:sz w:val="28"/>
                <w:szCs w:val="28"/>
                <w14:textOutline w14:w="5100" w14:cap="sq" w14:cmpd="sng">
                  <w14:solidFill>
                    <w14:srgbClr w14:val="000000"/>
                  </w14:solidFill>
                  <w14:prstDash w14:val="solid"/>
                  <w14:bevel/>
                </w14:textOutline>
                <w14:textFill>
                  <w14:solidFill>
                    <w14:schemeClr w14:val="tx1"/>
                  </w14:solidFill>
                </w14:textFill>
              </w:rPr>
              <w:t>水污染物减排。</w:t>
            </w:r>
            <w:r>
              <w:rPr>
                <w:rFonts w:ascii="黑体" w:hAnsi="黑体" w:eastAsia="黑体" w:cs="黑体"/>
                <w:color w:val="000000" w:themeColor="text1"/>
                <w:spacing w:val="-8"/>
                <w:sz w:val="28"/>
                <w:szCs w:val="28"/>
                <w14:textFill>
                  <w14:solidFill>
                    <w14:schemeClr w14:val="tx1"/>
                  </w14:solidFill>
                </w14:textFill>
              </w:rPr>
              <w:t>实施城镇污水处理设施建设与改造、配套管网建设、</w:t>
            </w:r>
            <w:r>
              <w:rPr>
                <w:rFonts w:ascii="黑体" w:hAnsi="黑体" w:eastAsia="黑体" w:cs="黑体"/>
                <w:color w:val="000000" w:themeColor="text1"/>
                <w:spacing w:val="27"/>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污泥处理处置设施建设与改造、再生水利用等工程，到</w:t>
            </w:r>
            <w:r>
              <w:rPr>
                <w:rFonts w:ascii="黑体" w:hAnsi="黑体" w:eastAsia="黑体" w:cs="黑体"/>
                <w:color w:val="000000" w:themeColor="text1"/>
                <w:spacing w:val="-39"/>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2"/>
                <w:sz w:val="28"/>
                <w:szCs w:val="28"/>
                <w14:textFill>
                  <w14:solidFill>
                    <w14:schemeClr w14:val="tx1"/>
                  </w14:solidFill>
                </w14:textFill>
              </w:rPr>
              <w:t>2025</w:t>
            </w:r>
            <w:r>
              <w:rPr>
                <w:rFonts w:ascii="Times New Roman" w:hAnsi="Times New Roman" w:eastAsia="Times New Roman" w:cs="Times New Roman"/>
                <w:color w:val="000000" w:themeColor="text1"/>
                <w:spacing w:val="12"/>
                <w:w w:val="101"/>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年，全省</w:t>
            </w:r>
            <w:r>
              <w:rPr>
                <w:rFonts w:ascii="黑体" w:hAnsi="黑体" w:eastAsia="黑体" w:cs="黑体"/>
                <w:color w:val="000000" w:themeColor="text1"/>
                <w:sz w:val="28"/>
                <w:szCs w:val="28"/>
                <w14:textFill>
                  <w14:solidFill>
                    <w14:schemeClr w14:val="tx1"/>
                  </w14:solidFill>
                </w14:textFill>
              </w:rPr>
              <w:t xml:space="preserve"> </w:t>
            </w:r>
            <w:r>
              <w:rPr>
                <w:rFonts w:ascii="黑体" w:hAnsi="黑体" w:eastAsia="黑体" w:cs="黑体"/>
                <w:color w:val="000000" w:themeColor="text1"/>
                <w:spacing w:val="-7"/>
                <w:w w:val="99"/>
                <w:sz w:val="28"/>
                <w:szCs w:val="28"/>
                <w14:textFill>
                  <w14:solidFill>
                    <w14:schemeClr w14:val="tx1"/>
                  </w14:solidFill>
                </w14:textFill>
              </w:rPr>
              <w:t>新增城镇污水处理能力</w:t>
            </w:r>
            <w:r>
              <w:rPr>
                <w:rFonts w:ascii="黑体" w:hAnsi="黑体" w:eastAsia="黑体" w:cs="黑体"/>
                <w:color w:val="000000" w:themeColor="text1"/>
                <w:spacing w:val="47"/>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7"/>
                <w:w w:val="99"/>
                <w:sz w:val="28"/>
                <w:szCs w:val="28"/>
                <w14:textFill>
                  <w14:solidFill>
                    <w14:schemeClr w14:val="tx1"/>
                  </w14:solidFill>
                </w14:textFill>
              </w:rPr>
              <w:t>120</w:t>
            </w:r>
            <w:r>
              <w:rPr>
                <w:rFonts w:ascii="Times New Roman" w:hAnsi="Times New Roman" w:eastAsia="Times New Roman" w:cs="Times New Roman"/>
                <w:color w:val="000000" w:themeColor="text1"/>
                <w:spacing w:val="28"/>
                <w:sz w:val="28"/>
                <w:szCs w:val="28"/>
                <w14:textFill>
                  <w14:solidFill>
                    <w14:schemeClr w14:val="tx1"/>
                  </w14:solidFill>
                </w14:textFill>
              </w:rPr>
              <w:t xml:space="preserve"> </w:t>
            </w:r>
            <w:r>
              <w:rPr>
                <w:rFonts w:ascii="黑体" w:hAnsi="黑体" w:eastAsia="黑体" w:cs="黑体"/>
                <w:color w:val="000000" w:themeColor="text1"/>
                <w:spacing w:val="-7"/>
                <w:w w:val="99"/>
                <w:sz w:val="28"/>
                <w:szCs w:val="28"/>
                <w14:textFill>
                  <w14:solidFill>
                    <w14:schemeClr w14:val="tx1"/>
                  </w14:solidFill>
                </w14:textFill>
              </w:rPr>
              <w:t>万立方米</w:t>
            </w:r>
            <w:r>
              <w:rPr>
                <w:rFonts w:ascii="Times New Roman" w:hAnsi="Times New Roman" w:eastAsia="Times New Roman" w:cs="Times New Roman"/>
                <w:color w:val="000000" w:themeColor="text1"/>
                <w:spacing w:val="-7"/>
                <w:w w:val="99"/>
                <w:sz w:val="28"/>
                <w:szCs w:val="28"/>
                <w14:textFill>
                  <w14:solidFill>
                    <w14:schemeClr w14:val="tx1"/>
                  </w14:solidFill>
                </w14:textFill>
              </w:rPr>
              <w:t>/</w:t>
            </w:r>
            <w:r>
              <w:rPr>
                <w:rFonts w:ascii="Times New Roman" w:hAnsi="Times New Roman" w:eastAsia="Times New Roman" w:cs="Times New Roman"/>
                <w:color w:val="000000" w:themeColor="text1"/>
                <w:spacing w:val="-6"/>
                <w:sz w:val="28"/>
                <w:szCs w:val="28"/>
                <w14:textFill>
                  <w14:solidFill>
                    <w14:schemeClr w14:val="tx1"/>
                  </w14:solidFill>
                </w14:textFill>
              </w:rPr>
              <w:t xml:space="preserve"> </w:t>
            </w:r>
            <w:r>
              <w:rPr>
                <w:rFonts w:ascii="黑体" w:hAnsi="黑体" w:eastAsia="黑体" w:cs="黑体"/>
                <w:color w:val="000000" w:themeColor="text1"/>
                <w:spacing w:val="-7"/>
                <w:w w:val="99"/>
                <w:sz w:val="28"/>
                <w:szCs w:val="28"/>
                <w14:textFill>
                  <w14:solidFill>
                    <w14:schemeClr w14:val="tx1"/>
                  </w14:solidFill>
                </w14:textFill>
              </w:rPr>
              <w:t>日。实施开发区等工业聚集区污水</w:t>
            </w:r>
            <w:r>
              <w:rPr>
                <w:rFonts w:ascii="黑体" w:hAnsi="黑体" w:eastAsia="黑体" w:cs="黑体"/>
                <w:color w:val="000000" w:themeColor="text1"/>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集中处理设施建设与改造、配套管网建设，工业企业达标整治、清洁化</w:t>
            </w:r>
            <w:r>
              <w:rPr>
                <w:rFonts w:ascii="黑体" w:hAnsi="黑体" w:eastAsia="黑体" w:cs="黑体"/>
                <w:color w:val="000000" w:themeColor="text1"/>
                <w:spacing w:val="29"/>
                <w:sz w:val="28"/>
                <w:szCs w:val="28"/>
                <w14:textFill>
                  <w14:solidFill>
                    <w14:schemeClr w14:val="tx1"/>
                  </w14:solidFill>
                </w14:textFill>
              </w:rPr>
              <w:t xml:space="preserve"> </w:t>
            </w:r>
            <w:r>
              <w:rPr>
                <w:rFonts w:ascii="黑体" w:hAnsi="黑体" w:eastAsia="黑体" w:cs="黑体"/>
                <w:color w:val="000000" w:themeColor="text1"/>
                <w:spacing w:val="-1"/>
                <w:sz w:val="28"/>
                <w:szCs w:val="28"/>
                <w14:textFill>
                  <w14:solidFill>
                    <w14:schemeClr w14:val="tx1"/>
                  </w14:solidFill>
                </w14:textFill>
              </w:rPr>
              <w:t>改造工程。实施排污口规范化建设、入河排污口综合整治工程。</w:t>
            </w:r>
          </w:p>
          <w:p>
            <w:pPr>
              <w:pageBreakBefore w:val="0"/>
              <w:widowControl/>
              <w:kinsoku w:val="0"/>
              <w:wordWrap/>
              <w:overflowPunct/>
              <w:topLinePunct w:val="0"/>
              <w:autoSpaceDE w:val="0"/>
              <w:autoSpaceDN w:val="0"/>
              <w:bidi w:val="0"/>
              <w:adjustRightInd w:val="0"/>
              <w:snapToGrid w:val="0"/>
              <w:spacing w:before="18" w:line="347" w:lineRule="auto"/>
              <w:ind w:left="121" w:firstLine="565"/>
              <w:jc w:val="both"/>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2"/>
                <w:sz w:val="28"/>
                <w:szCs w:val="28"/>
                <w14:textOutline w14:w="5100" w14:cap="sq" w14:cmpd="sng">
                  <w14:solidFill>
                    <w14:srgbClr w14:val="000000"/>
                  </w14:solidFill>
                  <w14:prstDash w14:val="solid"/>
                  <w14:bevel/>
                </w14:textOutline>
                <w14:textFill>
                  <w14:solidFill>
                    <w14:schemeClr w14:val="tx1"/>
                  </w14:solidFill>
                </w14:textFill>
              </w:rPr>
              <w:t>水生态保护修复。</w:t>
            </w:r>
            <w:r>
              <w:rPr>
                <w:rFonts w:ascii="黑体" w:hAnsi="黑体" w:eastAsia="黑体" w:cs="黑体"/>
                <w:color w:val="000000" w:themeColor="text1"/>
                <w:spacing w:val="-2"/>
                <w:sz w:val="28"/>
                <w:szCs w:val="28"/>
                <w14:textFill>
                  <w14:solidFill>
                    <w14:schemeClr w14:val="tx1"/>
                  </w14:solidFill>
                </w14:textFill>
              </w:rPr>
              <w:t>以长江流域、淮河流域、新安江流域、引江济淮</w:t>
            </w:r>
            <w:r>
              <w:rPr>
                <w:rFonts w:ascii="黑体" w:hAnsi="黑体" w:eastAsia="黑体" w:cs="黑体"/>
                <w:color w:val="000000" w:themeColor="text1"/>
                <w:spacing w:val="15"/>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清水通道为重点，实施水系生态修复、河湖生态缓冲带建设、水生植被</w:t>
            </w:r>
            <w:r>
              <w:rPr>
                <w:rFonts w:ascii="黑体" w:hAnsi="黑体" w:eastAsia="黑体" w:cs="黑体"/>
                <w:color w:val="000000" w:themeColor="text1"/>
                <w:spacing w:val="25"/>
                <w:sz w:val="28"/>
                <w:szCs w:val="28"/>
                <w14:textFill>
                  <w14:solidFill>
                    <w14:schemeClr w14:val="tx1"/>
                  </w14:solidFill>
                </w14:textFill>
              </w:rPr>
              <w:t xml:space="preserve"> </w:t>
            </w:r>
            <w:r>
              <w:rPr>
                <w:rFonts w:ascii="黑体" w:hAnsi="黑体" w:eastAsia="黑体" w:cs="黑体"/>
                <w:color w:val="000000" w:themeColor="text1"/>
                <w:spacing w:val="-7"/>
                <w:sz w:val="28"/>
                <w:szCs w:val="28"/>
                <w14:textFill>
                  <w14:solidFill>
                    <w14:schemeClr w14:val="tx1"/>
                  </w14:solidFill>
                </w14:textFill>
              </w:rPr>
              <w:t>恢复、自然湿地恢复、水体及岸边的污染源整治、沿岸截污、疏浚清淤、</w:t>
            </w:r>
            <w:r>
              <w:rPr>
                <w:rFonts w:ascii="黑体" w:hAnsi="黑体" w:eastAsia="黑体" w:cs="黑体"/>
                <w:color w:val="000000" w:themeColor="text1"/>
                <w:spacing w:val="16"/>
                <w:sz w:val="28"/>
                <w:szCs w:val="28"/>
                <w14:textFill>
                  <w14:solidFill>
                    <w14:schemeClr w14:val="tx1"/>
                  </w14:solidFill>
                </w14:textFill>
              </w:rPr>
              <w:t xml:space="preserve"> </w:t>
            </w:r>
            <w:r>
              <w:rPr>
                <w:rFonts w:ascii="黑体" w:hAnsi="黑体" w:eastAsia="黑体" w:cs="黑体"/>
                <w:color w:val="000000" w:themeColor="text1"/>
                <w:spacing w:val="-3"/>
                <w:sz w:val="28"/>
                <w:szCs w:val="28"/>
                <w14:textFill>
                  <w14:solidFill>
                    <w14:schemeClr w14:val="tx1"/>
                  </w14:solidFill>
                </w14:textFill>
              </w:rPr>
              <w:t>垃圾清理工程。</w:t>
            </w:r>
          </w:p>
          <w:p>
            <w:pPr>
              <w:pageBreakBefore w:val="0"/>
              <w:widowControl/>
              <w:kinsoku w:val="0"/>
              <w:wordWrap/>
              <w:overflowPunct/>
              <w:topLinePunct w:val="0"/>
              <w:autoSpaceDE w:val="0"/>
              <w:autoSpaceDN w:val="0"/>
              <w:bidi w:val="0"/>
              <w:adjustRightInd w:val="0"/>
              <w:snapToGrid w:val="0"/>
              <w:spacing w:before="240" w:line="298" w:lineRule="auto"/>
              <w:ind w:left="117" w:right="105" w:firstLine="554"/>
              <w:jc w:val="both"/>
              <w:rPr>
                <w:rFonts w:ascii="黑体" w:hAnsi="黑体" w:eastAsia="黑体" w:cs="黑体"/>
                <w:color w:val="000000" w:themeColor="text1"/>
                <w:spacing w:val="-1"/>
                <w:sz w:val="28"/>
                <w:szCs w:val="28"/>
                <w14:textFill>
                  <w14:solidFill>
                    <w14:schemeClr w14:val="tx1"/>
                  </w14:solidFill>
                </w14:textFill>
              </w:rPr>
            </w:pPr>
            <w:r>
              <w:rPr>
                <w:rFonts w:ascii="黑体" w:hAnsi="黑体" w:eastAsia="黑体" w:cs="黑体"/>
                <w:color w:val="000000" w:themeColor="text1"/>
                <w:spacing w:val="-1"/>
                <w:sz w:val="28"/>
                <w:szCs w:val="28"/>
                <w14:textOutline w14:w="5103" w14:cap="sq" w14:cmpd="sng">
                  <w14:solidFill>
                    <w14:srgbClr w14:val="000000"/>
                  </w14:solidFill>
                  <w14:prstDash w14:val="solid"/>
                  <w14:bevel/>
                </w14:textOutline>
                <w14:textFill>
                  <w14:solidFill>
                    <w14:schemeClr w14:val="tx1"/>
                  </w14:solidFill>
                </w14:textFill>
              </w:rPr>
              <w:t>黑臭水体整治工程。</w:t>
            </w:r>
            <w:r>
              <w:rPr>
                <w:rFonts w:ascii="黑体" w:hAnsi="黑体" w:eastAsia="黑体" w:cs="黑体"/>
                <w:color w:val="000000" w:themeColor="text1"/>
                <w:spacing w:val="-1"/>
                <w:sz w:val="28"/>
                <w:szCs w:val="28"/>
                <w14:textFill>
                  <w14:solidFill>
                    <w14:schemeClr w14:val="tx1"/>
                  </w14:solidFill>
                </w14:textFill>
              </w:rPr>
              <w:t>实施县级城市建成区黑臭水体综合整治工程。</w:t>
            </w:r>
          </w:p>
        </w:tc>
      </w:tr>
    </w:tbl>
    <w:p>
      <w:pPr>
        <w:pageBreakBefore w:val="0"/>
        <w:widowControl/>
        <w:kinsoku w:val="0"/>
        <w:wordWrap/>
        <w:overflowPunct/>
        <w:topLinePunct w:val="0"/>
        <w:autoSpaceDE w:val="0"/>
        <w:autoSpaceDN w:val="0"/>
        <w:bidi w:val="0"/>
        <w:adjustRightInd w:val="0"/>
        <w:snapToGrid w:val="0"/>
        <w:spacing w:line="91" w:lineRule="auto"/>
        <w:rPr>
          <w:rFonts w:ascii="Arial"/>
          <w:color w:val="000000" w:themeColor="text1"/>
          <w:sz w:val="28"/>
          <w:szCs w:val="28"/>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50" w:firstLineChars="200"/>
        <w:textAlignment w:val="baseline"/>
        <w:rPr>
          <w:rFonts w:hint="eastAsia" w:ascii="宋体" w:hAnsi="宋体" w:eastAsia="宋体" w:cs="宋体"/>
          <w:b/>
          <w:bCs/>
          <w:color w:val="000000" w:themeColor="text1"/>
          <w:spacing w:val="-3"/>
          <w:sz w:val="28"/>
          <w:szCs w:val="28"/>
          <w14:textFill>
            <w14:solidFill>
              <w14:schemeClr w14:val="tx1"/>
            </w14:solidFill>
          </w14:textFill>
        </w:rPr>
      </w:pPr>
      <w:r>
        <w:rPr>
          <w:rFonts w:hint="eastAsia" w:ascii="宋体" w:hAnsi="宋体" w:eastAsia="宋体" w:cs="宋体"/>
          <w:b/>
          <w:bCs/>
          <w:color w:val="000000" w:themeColor="text1"/>
          <w:spacing w:val="-3"/>
          <w:sz w:val="28"/>
          <w:szCs w:val="28"/>
          <w:lang w:val="en-US" w:eastAsia="zh-CN"/>
          <w14:textFill>
            <w14:solidFill>
              <w14:schemeClr w14:val="tx1"/>
            </w14:solidFill>
          </w14:textFill>
        </w:rPr>
        <w:t>3.</w:t>
      </w:r>
      <w:r>
        <w:rPr>
          <w:rFonts w:hint="eastAsia" w:ascii="宋体" w:hAnsi="宋体" w:eastAsia="宋体" w:cs="宋体"/>
          <w:b/>
          <w:bCs/>
          <w:color w:val="000000" w:themeColor="text1"/>
          <w:spacing w:val="-3"/>
          <w:sz w:val="28"/>
          <w:szCs w:val="28"/>
          <w14:textFill>
            <w14:solidFill>
              <w14:schemeClr w14:val="tx1"/>
            </w14:solidFill>
          </w14:textFill>
        </w:rPr>
        <w:t>实施分类防治，保障土壤环境安全</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 1 ）加强土壤污染防治系统监管。推动土壤环境监管 与国土空间管控的衔接，根据土壤污染和风险状况，合理规 划土地用途。完善土壤环境质量评价、监测、污染控制及配 套政策法规等相关体系。制定、修订农用地、污染地块、工 矿企业用地等方面的环境管理制度，土壤污染重点监管单位 纳入排污许可证统一监管。督促土壤污染重点监管单位落实 有毒有害物质排放报告、污染隐患排查、用地土壤和地下水 自行监测、设施设备拆除污染防治等法定义务，落实重点监 管企业周边土壤监测要求。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（2 ）加强农用地土壤污染源头管控和安全利用。以严 守农产品质量安全为底线，以重点区域、重点行业、重点污 染物为着力点，开展耕地土壤污染成因分析，持续推进耕地周边涉重金属行业企业排查整治，实施“断源行动” 。动态调 整农用地土壤环境质量类别，实施分类管理，推进受污染耕 地安全利用和严格管控。依法划定特定农产品严格管控区 域，鼓励采取种植结构调整、退耕还林还草等措施，确保严 格管控类耕地实现安全利用。依法严查向未利用地非法排污 等环境违法行为。</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 3 ）严格建设用地风险管控和治理修复。依法督促关 闭搬迁工业企业腾退土地开展土壤污染调查评估，对纳入建 设用地土壤污染风险管控和修复名录的地块，在完成风险管 控或治理修复前不得开工建设与风险管控、治理修复无关的 项 目。加强疑似污染地块和污染地块的监管，严格建设用地 准入，实行开发利用“负面清单”管理。以用途变更为住宅、 公共服务用地的污染地块为重点，强化用地准入管理和部门 联动监管，实施一批重点污染地块管控和修复。加强建设用 地土壤修复的环境监管，督促落实二次污染防治要求。推动 矿山环境整治和修复，解决一批历史遗留矿山采选废渣和矿 洞涌水等污染问题。</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（4 ）保障地下水环境安全。严格保护和合理利用地下 水，加强皖北地下水降落漏斗治理。以集中式地下水型饮用 水水源和污染源为重点，开展地下水环境状况调查评估，切 实保障地下水型饮用水水源环境安全。对已查明的地下水重 污染工业企业、危废处置场、垃圾填埋场等，依法纳入重点 排污单位，督促落实自行监测、溯源断源、管控治理。加强地表水与地下水污染、土壤与地下水污染协同防治，确保实 现国家下达的水质目标。推进地下水污染防治分区划分，确 定分区防治措施。开展非地质背景导致未达标或Ⅴ类的国家 地下水质量考核点位污染溯源调查，制定地下水质量达标方 案或改善方案。</w:t>
      </w:r>
    </w:p>
    <w:p>
      <w:pPr>
        <w:bidi w:val="0"/>
        <w:rPr>
          <w:color w:val="000000" w:themeColor="text1"/>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43" w:lineRule="exact"/>
        <w:rPr>
          <w:color w:val="000000" w:themeColor="text1"/>
          <w:sz w:val="28"/>
          <w:szCs w:val="28"/>
          <w14:textFill>
            <w14:solidFill>
              <w14:schemeClr w14:val="tx1"/>
            </w14:solidFill>
          </w14:textFill>
        </w:rPr>
      </w:pPr>
    </w:p>
    <w:tbl>
      <w:tblPr>
        <w:tblStyle w:val="8"/>
        <w:tblW w:w="88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854" w:type="dxa"/>
            <w:vAlign w:val="top"/>
          </w:tcPr>
          <w:p>
            <w:pPr>
              <w:pageBreakBefore w:val="0"/>
              <w:widowControl/>
              <w:kinsoku w:val="0"/>
              <w:wordWrap/>
              <w:overflowPunct/>
              <w:topLinePunct w:val="0"/>
              <w:autoSpaceDE w:val="0"/>
              <w:autoSpaceDN w:val="0"/>
              <w:bidi w:val="0"/>
              <w:adjustRightInd w:val="0"/>
              <w:snapToGrid w:val="0"/>
              <w:spacing w:before="234" w:line="206" w:lineRule="auto"/>
              <w:ind w:firstLine="2585"/>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3"/>
                <w:sz w:val="28"/>
                <w:szCs w:val="28"/>
                <w14:textFill>
                  <w14:solidFill>
                    <w14:schemeClr w14:val="tx1"/>
                  </w14:solidFill>
                </w14:textFill>
              </w:rPr>
              <w:t>专栏</w:t>
            </w:r>
            <w:r>
              <w:rPr>
                <w:rFonts w:ascii="黑体" w:hAnsi="黑体" w:eastAsia="黑体" w:cs="黑体"/>
                <w:color w:val="000000" w:themeColor="text1"/>
                <w:spacing w:val="-57"/>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3"/>
                <w:sz w:val="28"/>
                <w:szCs w:val="28"/>
                <w14:textFill>
                  <w14:solidFill>
                    <w14:schemeClr w14:val="tx1"/>
                  </w14:solidFill>
                </w14:textFill>
              </w:rPr>
              <w:t>3</w:t>
            </w:r>
            <w:r>
              <w:rPr>
                <w:rFonts w:ascii="Times New Roman" w:hAnsi="Times New Roman" w:eastAsia="Times New Roman" w:cs="Times New Roman"/>
                <w:color w:val="000000" w:themeColor="text1"/>
                <w:spacing w:val="9"/>
                <w:sz w:val="28"/>
                <w:szCs w:val="28"/>
                <w14:textFill>
                  <w14:solidFill>
                    <w14:schemeClr w14:val="tx1"/>
                  </w14:solidFill>
                </w14:textFill>
              </w:rPr>
              <w:t xml:space="preserve">  </w:t>
            </w:r>
            <w:r>
              <w:rPr>
                <w:rFonts w:ascii="黑体" w:hAnsi="黑体" w:eastAsia="黑体" w:cs="黑体"/>
                <w:color w:val="000000" w:themeColor="text1"/>
                <w:spacing w:val="-3"/>
                <w:sz w:val="28"/>
                <w:szCs w:val="28"/>
                <w14:textFill>
                  <w14:solidFill>
                    <w14:schemeClr w14:val="tx1"/>
                  </w14:solidFill>
                </w14:textFill>
              </w:rPr>
              <w:t>土壤和地下水领域重大工程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5" w:hRule="atLeast"/>
        </w:trPr>
        <w:tc>
          <w:tcPr>
            <w:tcW w:w="8854" w:type="dxa"/>
            <w:vAlign w:val="top"/>
          </w:tcPr>
          <w:p>
            <w:pPr>
              <w:pageBreakBefore w:val="0"/>
              <w:widowControl/>
              <w:kinsoku w:val="0"/>
              <w:wordWrap/>
              <w:overflowPunct/>
              <w:topLinePunct w:val="0"/>
              <w:autoSpaceDE w:val="0"/>
              <w:autoSpaceDN w:val="0"/>
              <w:bidi w:val="0"/>
              <w:adjustRightInd w:val="0"/>
              <w:snapToGrid w:val="0"/>
              <w:spacing w:before="239" w:line="298" w:lineRule="auto"/>
              <w:ind w:left="119" w:right="107" w:firstLine="564"/>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3"/>
                <w:sz w:val="28"/>
                <w:szCs w:val="28"/>
                <w14:textOutline w14:w="5103" w14:cap="sq" w14:cmpd="sng">
                  <w14:solidFill>
                    <w14:srgbClr w14:val="000000"/>
                  </w14:solidFill>
                  <w14:prstDash w14:val="solid"/>
                  <w14:bevel/>
                </w14:textOutline>
                <w14:textFill>
                  <w14:solidFill>
                    <w14:schemeClr w14:val="tx1"/>
                  </w14:solidFill>
                </w14:textFill>
              </w:rPr>
              <w:t>建设用地地块管控和修复工程。</w:t>
            </w:r>
            <w:r>
              <w:rPr>
                <w:rFonts w:ascii="黑体" w:hAnsi="黑体" w:eastAsia="黑体" w:cs="黑体"/>
                <w:color w:val="000000" w:themeColor="text1"/>
                <w:spacing w:val="-3"/>
                <w:sz w:val="28"/>
                <w:szCs w:val="28"/>
                <w14:textFill>
                  <w14:solidFill>
                    <w14:schemeClr w14:val="tx1"/>
                  </w14:solidFill>
                </w14:textFill>
              </w:rPr>
              <w:t>以用途变更为住宅、公共管理与公</w:t>
            </w:r>
            <w:r>
              <w:rPr>
                <w:rFonts w:ascii="黑体" w:hAnsi="黑体" w:eastAsia="黑体" w:cs="黑体"/>
                <w:color w:val="000000" w:themeColor="text1"/>
                <w:spacing w:val="24"/>
                <w:sz w:val="28"/>
                <w:szCs w:val="28"/>
                <w14:textFill>
                  <w14:solidFill>
                    <w14:schemeClr w14:val="tx1"/>
                  </w14:solidFill>
                </w14:textFill>
              </w:rPr>
              <w:t xml:space="preserve"> </w:t>
            </w:r>
            <w:r>
              <w:rPr>
                <w:rFonts w:ascii="黑体" w:hAnsi="黑体" w:eastAsia="黑体" w:cs="黑体"/>
                <w:color w:val="000000" w:themeColor="text1"/>
                <w:spacing w:val="-1"/>
                <w:sz w:val="28"/>
                <w:szCs w:val="28"/>
                <w14:textFill>
                  <w14:solidFill>
                    <w14:schemeClr w14:val="tx1"/>
                  </w14:solidFill>
                </w14:textFill>
              </w:rPr>
              <w:t>共服务地块为重点，实施重点地块土壤修复工程。</w:t>
            </w:r>
          </w:p>
          <w:p>
            <w:pPr>
              <w:pageBreakBefore w:val="0"/>
              <w:widowControl/>
              <w:kinsoku w:val="0"/>
              <w:wordWrap/>
              <w:overflowPunct/>
              <w:topLinePunct w:val="0"/>
              <w:autoSpaceDE w:val="0"/>
              <w:autoSpaceDN w:val="0"/>
              <w:bidi w:val="0"/>
              <w:adjustRightInd w:val="0"/>
              <w:snapToGrid w:val="0"/>
              <w:spacing w:before="293" w:line="396" w:lineRule="auto"/>
              <w:ind w:left="136" w:right="107" w:firstLine="561"/>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3"/>
                <w:sz w:val="28"/>
                <w:szCs w:val="28"/>
                <w14:textOutline w14:w="5103" w14:cap="sq" w14:cmpd="sng">
                  <w14:solidFill>
                    <w14:srgbClr w14:val="000000"/>
                  </w14:solidFill>
                  <w14:prstDash w14:val="solid"/>
                  <w14:bevel/>
                </w14:textOutline>
                <w14:textFill>
                  <w14:solidFill>
                    <w14:schemeClr w14:val="tx1"/>
                  </w14:solidFill>
                </w14:textFill>
              </w:rPr>
              <w:t>受污染耕地治理与修复示范工程。</w:t>
            </w:r>
            <w:r>
              <w:rPr>
                <w:rFonts w:ascii="黑体" w:hAnsi="黑体" w:eastAsia="黑体" w:cs="黑体"/>
                <w:color w:val="000000" w:themeColor="text1"/>
                <w:spacing w:val="-3"/>
                <w:sz w:val="28"/>
                <w:szCs w:val="28"/>
                <w14:textFill>
                  <w14:solidFill>
                    <w14:schemeClr w14:val="tx1"/>
                  </w14:solidFill>
                </w14:textFill>
              </w:rPr>
              <w:t>选择典型区域，实施受污染耕地</w:t>
            </w:r>
            <w:r>
              <w:rPr>
                <w:rFonts w:ascii="黑体" w:hAnsi="黑体" w:eastAsia="黑体" w:cs="黑体"/>
                <w:color w:val="000000" w:themeColor="text1"/>
                <w:spacing w:val="11"/>
                <w:sz w:val="28"/>
                <w:szCs w:val="28"/>
                <w14:textFill>
                  <w14:solidFill>
                    <w14:schemeClr w14:val="tx1"/>
                  </w14:solidFill>
                </w14:textFill>
              </w:rPr>
              <w:t xml:space="preserve"> </w:t>
            </w:r>
            <w:r>
              <w:rPr>
                <w:rFonts w:ascii="黑体" w:hAnsi="黑体" w:eastAsia="黑体" w:cs="黑体"/>
                <w:color w:val="000000" w:themeColor="text1"/>
                <w:spacing w:val="-8"/>
                <w:sz w:val="28"/>
                <w:szCs w:val="28"/>
                <w14:textFill>
                  <w14:solidFill>
                    <w14:schemeClr w14:val="tx1"/>
                  </w14:solidFill>
                </w14:textFill>
              </w:rPr>
              <w:t>治理与修复试点示范项</w:t>
            </w:r>
            <w:r>
              <w:rPr>
                <w:rFonts w:ascii="黑体" w:hAnsi="黑体" w:eastAsia="黑体" w:cs="黑体"/>
                <w:color w:val="000000" w:themeColor="text1"/>
                <w:spacing w:val="-70"/>
                <w:sz w:val="28"/>
                <w:szCs w:val="28"/>
                <w14:textFill>
                  <w14:solidFill>
                    <w14:schemeClr w14:val="tx1"/>
                  </w14:solidFill>
                </w14:textFill>
              </w:rPr>
              <w:t xml:space="preserve"> </w:t>
            </w:r>
            <w:r>
              <w:rPr>
                <w:rFonts w:ascii="黑体" w:hAnsi="黑体" w:eastAsia="黑体" w:cs="黑体"/>
                <w:color w:val="000000" w:themeColor="text1"/>
                <w:spacing w:val="-8"/>
                <w:sz w:val="28"/>
                <w:szCs w:val="28"/>
                <w14:textFill>
                  <w14:solidFill>
                    <w14:schemeClr w14:val="tx1"/>
                  </w14:solidFill>
                </w14:textFill>
              </w:rPr>
              <w:t>目。</w:t>
            </w:r>
          </w:p>
          <w:p>
            <w:pPr>
              <w:pageBreakBefore w:val="0"/>
              <w:widowControl/>
              <w:kinsoku w:val="0"/>
              <w:wordWrap/>
              <w:overflowPunct/>
              <w:topLinePunct w:val="0"/>
              <w:autoSpaceDE w:val="0"/>
              <w:autoSpaceDN w:val="0"/>
              <w:bidi w:val="0"/>
              <w:adjustRightInd w:val="0"/>
              <w:snapToGrid w:val="0"/>
              <w:spacing w:before="3" w:line="330" w:lineRule="auto"/>
              <w:ind w:left="113" w:right="74" w:firstLine="575"/>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2"/>
                <w:sz w:val="28"/>
                <w:szCs w:val="28"/>
                <w14:textOutline w14:w="5103" w14:cap="sq" w14:cmpd="sng">
                  <w14:solidFill>
                    <w14:srgbClr w14:val="000000"/>
                  </w14:solidFill>
                  <w14:prstDash w14:val="solid"/>
                  <w14:bevel/>
                </w14:textOutline>
                <w14:textFill>
                  <w14:solidFill>
                    <w14:schemeClr w14:val="tx1"/>
                  </w14:solidFill>
                </w14:textFill>
              </w:rPr>
              <w:t>开展</w:t>
            </w:r>
            <w:r>
              <w:rPr>
                <w:rFonts w:ascii="Times New Roman" w:hAnsi="Times New Roman" w:eastAsia="Times New Roman" w:cs="Times New Roman"/>
                <w:b/>
                <w:bCs/>
                <w:color w:val="000000" w:themeColor="text1"/>
                <w:spacing w:val="-2"/>
                <w:sz w:val="28"/>
                <w:szCs w:val="28"/>
                <w14:textFill>
                  <w14:solidFill>
                    <w14:schemeClr w14:val="tx1"/>
                  </w14:solidFill>
                </w14:textFill>
              </w:rPr>
              <w:t>“</w:t>
            </w:r>
            <w:r>
              <w:rPr>
                <w:rFonts w:ascii="黑体" w:hAnsi="黑体" w:eastAsia="黑体" w:cs="黑体"/>
                <w:color w:val="000000" w:themeColor="text1"/>
                <w:spacing w:val="-2"/>
                <w:sz w:val="28"/>
                <w:szCs w:val="28"/>
                <w14:textOutline w14:w="5103" w14:cap="sq" w14:cmpd="sng">
                  <w14:solidFill>
                    <w14:srgbClr w14:val="000000"/>
                  </w14:solidFill>
                  <w14:prstDash w14:val="solid"/>
                  <w14:bevel/>
                </w14:textOutline>
                <w14:textFill>
                  <w14:solidFill>
                    <w14:schemeClr w14:val="tx1"/>
                  </w14:solidFill>
                </w14:textFill>
              </w:rPr>
              <w:t>双源</w:t>
            </w:r>
            <w:r>
              <w:rPr>
                <w:rFonts w:ascii="Times New Roman" w:hAnsi="Times New Roman" w:eastAsia="Times New Roman" w:cs="Times New Roman"/>
                <w:b/>
                <w:bCs/>
                <w:color w:val="000000" w:themeColor="text1"/>
                <w:spacing w:val="-2"/>
                <w:sz w:val="28"/>
                <w:szCs w:val="28"/>
                <w14:textFill>
                  <w14:solidFill>
                    <w14:schemeClr w14:val="tx1"/>
                  </w14:solidFill>
                </w14:textFill>
              </w:rPr>
              <w:t>”</w:t>
            </w:r>
            <w:r>
              <w:rPr>
                <w:rFonts w:ascii="黑体" w:hAnsi="黑体" w:eastAsia="黑体" w:cs="黑体"/>
                <w:color w:val="000000" w:themeColor="text1"/>
                <w:spacing w:val="-2"/>
                <w:sz w:val="28"/>
                <w:szCs w:val="28"/>
                <w14:textOutline w14:w="5103" w14:cap="sq" w14:cmpd="sng">
                  <w14:solidFill>
                    <w14:srgbClr w14:val="000000"/>
                  </w14:solidFill>
                  <w14:prstDash w14:val="solid"/>
                  <w14:bevel/>
                </w14:textOutline>
                <w14:textFill>
                  <w14:solidFill>
                    <w14:schemeClr w14:val="tx1"/>
                  </w14:solidFill>
                </w14:textFill>
              </w:rPr>
              <w:t>地下水环境状况调查评估。</w:t>
            </w:r>
            <w:r>
              <w:rPr>
                <w:rFonts w:ascii="黑体" w:hAnsi="黑体" w:eastAsia="黑体" w:cs="黑体"/>
                <w:color w:val="000000" w:themeColor="text1"/>
                <w:spacing w:val="-2"/>
                <w:sz w:val="28"/>
                <w:szCs w:val="28"/>
                <w14:textFill>
                  <w14:solidFill>
                    <w14:schemeClr w14:val="tx1"/>
                  </w14:solidFill>
                </w14:textFill>
              </w:rPr>
              <w:t>以地下水重污染工业企业、</w:t>
            </w:r>
            <w:r>
              <w:rPr>
                <w:rFonts w:ascii="黑体" w:hAnsi="黑体" w:eastAsia="黑体" w:cs="黑体"/>
                <w:color w:val="000000" w:themeColor="text1"/>
                <w:spacing w:val="25"/>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尾矿库、加油站、危险废物处置场、垃圾填埋场、矿山开采区、再生水</w:t>
            </w:r>
            <w:r>
              <w:rPr>
                <w:rFonts w:ascii="黑体" w:hAnsi="黑体" w:eastAsia="黑体" w:cs="黑体"/>
                <w:color w:val="000000" w:themeColor="text1"/>
                <w:spacing w:val="10"/>
                <w:sz w:val="28"/>
                <w:szCs w:val="28"/>
                <w14:textFill>
                  <w14:solidFill>
                    <w14:schemeClr w14:val="tx1"/>
                  </w14:solidFill>
                </w14:textFill>
              </w:rPr>
              <w:t xml:space="preserve"> </w:t>
            </w:r>
            <w:r>
              <w:rPr>
                <w:rFonts w:ascii="黑体" w:hAnsi="黑体" w:eastAsia="黑体" w:cs="黑体"/>
                <w:color w:val="000000" w:themeColor="text1"/>
                <w:spacing w:val="-1"/>
                <w:sz w:val="28"/>
                <w:szCs w:val="28"/>
                <w14:textFill>
                  <w14:solidFill>
                    <w14:schemeClr w14:val="tx1"/>
                  </w14:solidFill>
                </w14:textFill>
              </w:rPr>
              <w:t>农用区为重点，开展</w:t>
            </w:r>
            <w:r>
              <w:rPr>
                <w:rFonts w:ascii="Times New Roman" w:hAnsi="Times New Roman" w:eastAsia="Times New Roman" w:cs="Times New Roman"/>
                <w:color w:val="000000" w:themeColor="text1"/>
                <w:spacing w:val="-1"/>
                <w:sz w:val="28"/>
                <w:szCs w:val="28"/>
                <w14:textFill>
                  <w14:solidFill>
                    <w14:schemeClr w14:val="tx1"/>
                  </w14:solidFill>
                </w14:textFill>
              </w:rPr>
              <w:t>“</w:t>
            </w:r>
            <w:r>
              <w:rPr>
                <w:rFonts w:ascii="黑体" w:hAnsi="黑体" w:eastAsia="黑体" w:cs="黑体"/>
                <w:color w:val="000000" w:themeColor="text1"/>
                <w:spacing w:val="-1"/>
                <w:sz w:val="28"/>
                <w:szCs w:val="28"/>
                <w14:textFill>
                  <w14:solidFill>
                    <w14:schemeClr w14:val="tx1"/>
                  </w14:solidFill>
                </w14:textFill>
              </w:rPr>
              <w:t>双源</w:t>
            </w:r>
            <w:r>
              <w:rPr>
                <w:rFonts w:ascii="Times New Roman" w:hAnsi="Times New Roman" w:eastAsia="Times New Roman" w:cs="Times New Roman"/>
                <w:color w:val="000000" w:themeColor="text1"/>
                <w:spacing w:val="-1"/>
                <w:sz w:val="28"/>
                <w:szCs w:val="28"/>
                <w14:textFill>
                  <w14:solidFill>
                    <w14:schemeClr w14:val="tx1"/>
                  </w14:solidFill>
                </w14:textFill>
              </w:rPr>
              <w:t>”</w:t>
            </w:r>
            <w:r>
              <w:rPr>
                <w:rFonts w:ascii="黑体" w:hAnsi="黑体" w:eastAsia="黑体" w:cs="黑体"/>
                <w:color w:val="000000" w:themeColor="text1"/>
                <w:spacing w:val="-1"/>
                <w:sz w:val="28"/>
                <w:szCs w:val="28"/>
                <w14:textFill>
                  <w14:solidFill>
                    <w14:schemeClr w14:val="tx1"/>
                  </w14:solidFill>
                </w14:textFill>
              </w:rPr>
              <w:t>地下水环境状况调查评估。</w:t>
            </w:r>
          </w:p>
        </w:tc>
      </w:tr>
    </w:tbl>
    <w:p>
      <w:pPr>
        <w:bidi w:val="0"/>
        <w:rPr>
          <w:color w:val="000000" w:themeColor="text1"/>
          <w14:textFill>
            <w14:solidFill>
              <w14:schemeClr w14:val="tx1"/>
            </w14:solidFill>
          </w14:textFill>
        </w:rPr>
      </w:pPr>
      <w:bookmarkStart w:id="18" w:name="_Toc5104"/>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r>
        <w:rPr>
          <w:rFonts w:cs="Arial"/>
          <w:b/>
          <w:color w:val="000000" w:themeColor="text1"/>
          <w:sz w:val="28"/>
          <w:szCs w:val="28"/>
          <w14:textFill>
            <w14:solidFill>
              <w14:schemeClr w14:val="tx1"/>
            </w14:solidFill>
          </w14:textFill>
        </w:rPr>
        <w:t>（ 四）加强农业农村生态环境保护</w:t>
      </w:r>
      <w:bookmarkEnd w:id="18"/>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1．推进农村环境整治。以县为单元，加快推进农村生 活污水治理统一规划、统一建设、统一运行和统一管理。统 筹实施污水管网修复完善与终端设施的改造提升工程，切实 提高乡镇政府驻地生活污水处理设施处理效率和服务范围。 定期开展农村生活污水处理设施运行情况排查评估，针对问 题实施分类改造。 因地制宜选取污水处理与资源化利用模 式，合理优化农村生活污水治理路径，加强农村小微湿地建 设。加强农村生活污水治理与改厕治理衔接，积极推进粪污 无害化处理和资源化利用。强化系统施治，合理选择治理技术模式，因河因塘施策，分区分类，标本兼治，通过试点有 序推进农村黑臭水体治理。推广黄山市“生态美”超市模式， 积极推进农村生活垃圾分类和资源化利用。到 2025 年，全 省乡镇政府驻地生活污水处理设施收集覆盖率达 75%，农村 生活污水治理率达 30%，完成国家下达的农村黑臭水体治理 任务，基本消除较大面积的农村黑臭水体，生活垃圾分类收 集处理和利用体系逐步建成。</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2．强化农业面源污染治理。强化农业面源污染监管， 试点开展农业面源污染监测、调查和成因分析，科学测算化 肥农药对面源污染的影响和粪污资源化利用情况，初步构建 面源监测网络。深入推广测土配方施肥、有机肥替代化肥， 探索与畜禽粪肥还田利用有机结合。支持开展病虫害统防统 治，全面推广低毒低残留农药使用，大力推进全程绿色防控 技术，到 2025 年，实现主要农作物化肥农药使用量负增长， 化肥、农药利用率均达到 43%以上。推动编制县域畜禽养殖 污染防治规划，加快畜禽规模养殖场（ 小区） 标准化改造和 建设，到 2025 年，所有规模养殖场粪污处理装备全配套， 畜禽养殖粪污综合利用率达到 85% 。推进水产绿色健康养 殖，提高水产养殖尾水循环利用率，沿江、沿淮、环巢湖等 主产区规模水产养殖尾水实现有效处理或循环利用。</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3．提升农业废弃物资源化利用水平。在种养密集区域， 探索整县推进秸秆、农田残膜、农药包装等废弃物全量资源 化利用模式。依托全省秸秆综合利用试点县和秸秆产业园区建设，强化秸秆收储运体系建设，培育壮大一批产业化利用 主体，提升秸秆离田收储和供应能力，推动形成布局合理、 链条完整的秸秆综合利用产业化格局。建立完善秸秆综合利 用体系，推进秸秆利用长效化运行。适时开展农膜区域性绿 色补偿制度试点示范，推广农膜减量增效技术，完善废弃农 膜及农药包装废弃物回收利用制度，试点“谁生产、谁利用， 谁销售、谁回收”的生产者和销售者责任延伸机制。到 2025  年，全省农作物秸秆综合利用率达到 95%以上，农膜回收率 提高到 85% 。强化各级人民政府秸秆综合利用和禁烧主体责 任，综合运用现代化环境监测手段，加强秸秆禁烧管控，实 行群防群治，完善重点区域网格化监管制度。</w:t>
      </w:r>
    </w:p>
    <w:p>
      <w:pPr>
        <w:pageBreakBefore w:val="0"/>
        <w:widowControl/>
        <w:kinsoku w:val="0"/>
        <w:wordWrap/>
        <w:overflowPunct/>
        <w:topLinePunct w:val="0"/>
        <w:autoSpaceDE w:val="0"/>
        <w:autoSpaceDN w:val="0"/>
        <w:bidi w:val="0"/>
        <w:adjustRightInd w:val="0"/>
        <w:snapToGrid w:val="0"/>
        <w:spacing w:line="43" w:lineRule="exact"/>
        <w:rPr>
          <w:color w:val="000000" w:themeColor="text1"/>
          <w:sz w:val="28"/>
          <w:szCs w:val="28"/>
          <w14:textFill>
            <w14:solidFill>
              <w14:schemeClr w14:val="tx1"/>
            </w14:solidFill>
          </w14:textFill>
        </w:rPr>
      </w:pPr>
    </w:p>
    <w:tbl>
      <w:tblPr>
        <w:tblStyle w:val="8"/>
        <w:tblW w:w="87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745" w:type="dxa"/>
            <w:vAlign w:val="top"/>
          </w:tcPr>
          <w:p>
            <w:pPr>
              <w:pageBreakBefore w:val="0"/>
              <w:widowControl/>
              <w:kinsoku w:val="0"/>
              <w:wordWrap/>
              <w:overflowPunct/>
              <w:topLinePunct w:val="0"/>
              <w:autoSpaceDE w:val="0"/>
              <w:autoSpaceDN w:val="0"/>
              <w:bidi w:val="0"/>
              <w:adjustRightInd w:val="0"/>
              <w:snapToGrid w:val="0"/>
              <w:spacing w:before="234" w:line="206" w:lineRule="auto"/>
              <w:ind w:firstLine="2531"/>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2"/>
                <w:sz w:val="28"/>
                <w:szCs w:val="28"/>
                <w14:textFill>
                  <w14:solidFill>
                    <w14:schemeClr w14:val="tx1"/>
                  </w14:solidFill>
                </w14:textFill>
              </w:rPr>
              <w:t>专栏</w:t>
            </w:r>
            <w:r>
              <w:rPr>
                <w:rFonts w:ascii="黑体" w:hAnsi="黑体" w:eastAsia="黑体" w:cs="黑体"/>
                <w:color w:val="000000" w:themeColor="text1"/>
                <w:spacing w:val="-60"/>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2"/>
                <w:sz w:val="28"/>
                <w:szCs w:val="28"/>
                <w14:textFill>
                  <w14:solidFill>
                    <w14:schemeClr w14:val="tx1"/>
                  </w14:solidFill>
                </w14:textFill>
              </w:rPr>
              <w:t>4</w:t>
            </w:r>
            <w:r>
              <w:rPr>
                <w:rFonts w:ascii="Times New Roman" w:hAnsi="Times New Roman" w:eastAsia="Times New Roman" w:cs="Times New Roman"/>
                <w:color w:val="000000" w:themeColor="text1"/>
                <w:spacing w:val="2"/>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农业农村污染治理重大工程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5" w:hRule="atLeast"/>
        </w:trPr>
        <w:tc>
          <w:tcPr>
            <w:tcW w:w="8745" w:type="dxa"/>
            <w:vAlign w:val="top"/>
          </w:tcPr>
          <w:p>
            <w:pPr>
              <w:pageBreakBefore w:val="0"/>
              <w:widowControl/>
              <w:kinsoku w:val="0"/>
              <w:wordWrap/>
              <w:overflowPunct/>
              <w:topLinePunct w:val="0"/>
              <w:autoSpaceDE w:val="0"/>
              <w:autoSpaceDN w:val="0"/>
              <w:bidi w:val="0"/>
              <w:adjustRightInd w:val="0"/>
              <w:snapToGrid w:val="0"/>
              <w:spacing w:before="239" w:line="298" w:lineRule="auto"/>
              <w:ind w:left="119" w:right="105" w:firstLine="556"/>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4"/>
                <w:sz w:val="28"/>
                <w:szCs w:val="28"/>
                <w14:textOutline w14:w="5103" w14:cap="sq" w14:cmpd="sng">
                  <w14:solidFill>
                    <w14:srgbClr w14:val="000000"/>
                  </w14:solidFill>
                  <w14:prstDash w14:val="solid"/>
                  <w14:bevel/>
                </w14:textOutline>
                <w14:textFill>
                  <w14:solidFill>
                    <w14:schemeClr w14:val="tx1"/>
                  </w14:solidFill>
                </w14:textFill>
              </w:rPr>
              <w:t>农业面源污染防治工程。</w:t>
            </w:r>
            <w:r>
              <w:rPr>
                <w:rFonts w:ascii="黑体" w:hAnsi="黑体" w:eastAsia="黑体" w:cs="黑体"/>
                <w:color w:val="000000" w:themeColor="text1"/>
                <w:spacing w:val="4"/>
                <w:sz w:val="28"/>
                <w:szCs w:val="28"/>
                <w14:textFill>
                  <w14:solidFill>
                    <w14:schemeClr w14:val="tx1"/>
                  </w14:solidFill>
                </w14:textFill>
              </w:rPr>
              <w:t>推进规模化畜禽养殖场污水和废弃物处</w:t>
            </w:r>
            <w:r>
              <w:rPr>
                <w:rFonts w:ascii="黑体" w:hAnsi="黑体" w:eastAsia="黑体" w:cs="黑体"/>
                <w:color w:val="000000" w:themeColor="text1"/>
                <w:spacing w:val="6"/>
                <w:sz w:val="28"/>
                <w:szCs w:val="28"/>
                <w14:textFill>
                  <w14:solidFill>
                    <w14:schemeClr w14:val="tx1"/>
                  </w14:solidFill>
                </w14:textFill>
              </w:rPr>
              <w:t xml:space="preserve"> </w:t>
            </w:r>
            <w:r>
              <w:rPr>
                <w:rFonts w:ascii="黑体" w:hAnsi="黑体" w:eastAsia="黑体" w:cs="黑体"/>
                <w:color w:val="000000" w:themeColor="text1"/>
                <w:spacing w:val="3"/>
                <w:sz w:val="28"/>
                <w:szCs w:val="28"/>
                <w14:textFill>
                  <w14:solidFill>
                    <w14:schemeClr w14:val="tx1"/>
                  </w14:solidFill>
                </w14:textFill>
              </w:rPr>
              <w:t>理工程、农田尾水和地表径流净化工程、农村污水收集处理及标准化</w:t>
            </w:r>
          </w:p>
          <w:p>
            <w:pPr>
              <w:pageBreakBefore w:val="0"/>
              <w:widowControl/>
              <w:kinsoku w:val="0"/>
              <w:wordWrap/>
              <w:overflowPunct/>
              <w:topLinePunct w:val="0"/>
              <w:autoSpaceDE w:val="0"/>
              <w:autoSpaceDN w:val="0"/>
              <w:bidi w:val="0"/>
              <w:adjustRightInd w:val="0"/>
              <w:snapToGrid w:val="0"/>
              <w:spacing w:before="295" w:line="201" w:lineRule="auto"/>
              <w:ind w:firstLine="113"/>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2"/>
                <w:sz w:val="28"/>
                <w:szCs w:val="28"/>
                <w14:textFill>
                  <w14:solidFill>
                    <w14:schemeClr w14:val="tx1"/>
                  </w14:solidFill>
                </w14:textFill>
              </w:rPr>
              <w:t>运维工程。</w:t>
            </w:r>
          </w:p>
          <w:p>
            <w:pPr>
              <w:pageBreakBefore w:val="0"/>
              <w:widowControl/>
              <w:kinsoku w:val="0"/>
              <w:wordWrap/>
              <w:overflowPunct/>
              <w:topLinePunct w:val="0"/>
              <w:autoSpaceDE w:val="0"/>
              <w:autoSpaceDN w:val="0"/>
              <w:bidi w:val="0"/>
              <w:adjustRightInd w:val="0"/>
              <w:snapToGrid w:val="0"/>
              <w:spacing w:before="294" w:line="391" w:lineRule="auto"/>
              <w:ind w:left="121" w:right="105" w:firstLine="554"/>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2"/>
                <w:sz w:val="28"/>
                <w:szCs w:val="28"/>
                <w14:textOutline w14:w="5103" w14:cap="sq" w14:cmpd="sng">
                  <w14:solidFill>
                    <w14:srgbClr w14:val="000000"/>
                  </w14:solidFill>
                  <w14:prstDash w14:val="solid"/>
                  <w14:bevel/>
                </w14:textOutline>
                <w14:textFill>
                  <w14:solidFill>
                    <w14:schemeClr w14:val="tx1"/>
                  </w14:solidFill>
                </w14:textFill>
              </w:rPr>
              <w:t>农村环境综合整治工程。</w:t>
            </w:r>
            <w:r>
              <w:rPr>
                <w:rFonts w:ascii="黑体" w:hAnsi="黑体" w:eastAsia="黑体" w:cs="黑体"/>
                <w:color w:val="000000" w:themeColor="text1"/>
                <w:spacing w:val="-2"/>
                <w:sz w:val="28"/>
                <w:szCs w:val="28"/>
                <w14:textFill>
                  <w14:solidFill>
                    <w14:schemeClr w14:val="tx1"/>
                  </w14:solidFill>
                </w14:textFill>
              </w:rPr>
              <w:t>新增完成环境整治行政村数量</w:t>
            </w:r>
            <w:r>
              <w:rPr>
                <w:rFonts w:ascii="黑体" w:hAnsi="黑体" w:eastAsia="黑体" w:cs="黑体"/>
                <w:color w:val="000000" w:themeColor="text1"/>
                <w:spacing w:val="-58"/>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2"/>
                <w:sz w:val="28"/>
                <w:szCs w:val="28"/>
                <w14:textFill>
                  <w14:solidFill>
                    <w14:schemeClr w14:val="tx1"/>
                  </w14:solidFill>
                </w14:textFill>
              </w:rPr>
              <w:t>2500</w:t>
            </w:r>
            <w:r>
              <w:rPr>
                <w:rFonts w:ascii="Times New Roman" w:hAnsi="Times New Roman" w:eastAsia="Times New Roman" w:cs="Times New Roman"/>
                <w:color w:val="000000" w:themeColor="text1"/>
                <w:spacing w:val="26"/>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个左</w:t>
            </w:r>
            <w:r>
              <w:rPr>
                <w:rFonts w:ascii="黑体" w:hAnsi="黑体" w:eastAsia="黑体" w:cs="黑体"/>
                <w:color w:val="000000" w:themeColor="text1"/>
                <w:sz w:val="28"/>
                <w:szCs w:val="28"/>
                <w14:textFill>
                  <w14:solidFill>
                    <w14:schemeClr w14:val="tx1"/>
                  </w14:solidFill>
                </w14:textFill>
              </w:rPr>
              <w:t xml:space="preserve"> </w:t>
            </w:r>
            <w:r>
              <w:rPr>
                <w:rFonts w:ascii="黑体" w:hAnsi="黑体" w:eastAsia="黑体" w:cs="黑体"/>
                <w:color w:val="000000" w:themeColor="text1"/>
                <w:spacing w:val="-7"/>
                <w:sz w:val="28"/>
                <w:szCs w:val="28"/>
                <w14:textFill>
                  <w14:solidFill>
                    <w14:schemeClr w14:val="tx1"/>
                  </w14:solidFill>
                </w14:textFill>
              </w:rPr>
              <w:t>右。</w:t>
            </w:r>
          </w:p>
          <w:p>
            <w:pPr>
              <w:pageBreakBefore w:val="0"/>
              <w:widowControl/>
              <w:kinsoku w:val="0"/>
              <w:wordWrap/>
              <w:overflowPunct/>
              <w:topLinePunct w:val="0"/>
              <w:autoSpaceDE w:val="0"/>
              <w:autoSpaceDN w:val="0"/>
              <w:bidi w:val="0"/>
              <w:adjustRightInd w:val="0"/>
              <w:snapToGrid w:val="0"/>
              <w:spacing w:before="13" w:line="331" w:lineRule="auto"/>
              <w:ind w:left="118" w:right="105" w:firstLine="558"/>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4"/>
                <w:sz w:val="28"/>
                <w:szCs w:val="28"/>
                <w14:textOutline w14:w="5103" w14:cap="sq" w14:cmpd="sng">
                  <w14:solidFill>
                    <w14:srgbClr w14:val="000000"/>
                  </w14:solidFill>
                  <w14:prstDash w14:val="solid"/>
                  <w14:bevel/>
                </w14:textOutline>
                <w14:textFill>
                  <w14:solidFill>
                    <w14:schemeClr w14:val="tx1"/>
                  </w14:solidFill>
                </w14:textFill>
              </w:rPr>
              <w:t>农村黑臭水体及生活污水治理工程。</w:t>
            </w:r>
            <w:r>
              <w:rPr>
                <w:rFonts w:ascii="黑体" w:hAnsi="黑体" w:eastAsia="黑体" w:cs="黑体"/>
                <w:color w:val="000000" w:themeColor="text1"/>
                <w:spacing w:val="4"/>
                <w:sz w:val="28"/>
                <w:szCs w:val="28"/>
                <w14:textFill>
                  <w14:solidFill>
                    <w14:schemeClr w14:val="tx1"/>
                  </w14:solidFill>
                </w14:textFill>
              </w:rPr>
              <w:t>推动实施农村小微湿地建设</w:t>
            </w:r>
            <w:r>
              <w:rPr>
                <w:rFonts w:ascii="黑体" w:hAnsi="黑体" w:eastAsia="黑体" w:cs="黑体"/>
                <w:color w:val="000000" w:themeColor="text1"/>
                <w:spacing w:val="6"/>
                <w:sz w:val="28"/>
                <w:szCs w:val="28"/>
                <w14:textFill>
                  <w14:solidFill>
                    <w14:schemeClr w14:val="tx1"/>
                  </w14:solidFill>
                </w14:textFill>
              </w:rPr>
              <w:t xml:space="preserve"> </w:t>
            </w:r>
            <w:r>
              <w:rPr>
                <w:rFonts w:ascii="黑体" w:hAnsi="黑体" w:eastAsia="黑体" w:cs="黑体"/>
                <w:color w:val="000000" w:themeColor="text1"/>
                <w:spacing w:val="3"/>
                <w:sz w:val="28"/>
                <w:szCs w:val="28"/>
                <w14:textFill>
                  <w14:solidFill>
                    <w14:schemeClr w14:val="tx1"/>
                  </w14:solidFill>
                </w14:textFill>
              </w:rPr>
              <w:t>工程，实施农村污水处理设施建设和改造提升工程，实施农村黑臭水</w:t>
            </w:r>
            <w:r>
              <w:rPr>
                <w:rFonts w:ascii="黑体" w:hAnsi="黑体" w:eastAsia="黑体" w:cs="黑体"/>
                <w:color w:val="000000" w:themeColor="text1"/>
                <w:spacing w:val="23"/>
                <w:sz w:val="28"/>
                <w:szCs w:val="28"/>
                <w14:textFill>
                  <w14:solidFill>
                    <w14:schemeClr w14:val="tx1"/>
                  </w14:solidFill>
                </w14:textFill>
              </w:rPr>
              <w:t xml:space="preserve"> </w:t>
            </w:r>
            <w:r>
              <w:rPr>
                <w:rFonts w:ascii="黑体" w:hAnsi="黑体" w:eastAsia="黑体" w:cs="黑体"/>
                <w:color w:val="000000" w:themeColor="text1"/>
                <w:spacing w:val="-1"/>
                <w:sz w:val="28"/>
                <w:szCs w:val="28"/>
                <w14:textFill>
                  <w14:solidFill>
                    <w14:schemeClr w14:val="tx1"/>
                  </w14:solidFill>
                </w14:textFill>
              </w:rPr>
              <w:t>体治理和水生态环境保护工程。</w:t>
            </w:r>
          </w:p>
        </w:tc>
      </w:tr>
    </w:tbl>
    <w:p>
      <w:pPr>
        <w:bidi w:val="0"/>
        <w:rPr>
          <w:color w:val="000000" w:themeColor="text1"/>
          <w14:textFill>
            <w14:solidFill>
              <w14:schemeClr w14:val="tx1"/>
            </w14:solidFill>
          </w14:textFill>
        </w:rPr>
      </w:pPr>
      <w:bookmarkStart w:id="19" w:name="_Toc18855"/>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r>
        <w:rPr>
          <w:rFonts w:cs="Arial"/>
          <w:b/>
          <w:color w:val="000000" w:themeColor="text1"/>
          <w:sz w:val="28"/>
          <w:szCs w:val="28"/>
          <w14:textFill>
            <w14:solidFill>
              <w14:schemeClr w14:val="tx1"/>
            </w14:solidFill>
          </w14:textFill>
        </w:rPr>
        <w:t>（ 五）筑牢生态安全屏障</w:t>
      </w:r>
      <w:bookmarkEnd w:id="19"/>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1．筑牢生态屏障，强化价值转化。统筹推进山水林田 湖草沙系统治理，完善全省生态安全屏障体系。全面落实生态空间用途管制，加强重要生态系统及生态脆弱地区保护与 修复。持续开展国土绿化行动，推进天然林保护、长江两岸 造林绿化、退耕还林还草。加强废弃矿山生态修复，全面推 进“绿色矿山”建设和水土流失综合治理。强化湿地保护，推 进沿江沿河自然湿地修复。全面建设长江生态廊道，加快岸 线生态修复，优化岸线资源利用，切实保护长江岸线资源； 推进淮河生态经济带建设，加快修复淮河生态廊道； 全面推 进引江济淮沿线丘陵岗地和荒坡荒地造林绿化，整体改善引 江济淮生态廊道； 推进新安江流域水环境综合治理，精心建 设新安江生态廊道。支持两淮采煤沉陷区等创新开展生态环 境综合治理，打造生态修复治理样板工程。推进“绿水青山” 与“金山银山”的生态环境价值转化，打造皖南地区生态旅游 和康养基地，创新生态资产的经营开发与扩能增值模式，探 索皖西大别山地区生态产品价值实现路径，加快实现生态产业化和产业生态化，完善政府主导、企业和社会各界参与、 市场化运作、可持续的生态产品价值实现路径。</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2．构建自然保护地体系。按照分类科学、保护有力原则，不断完善自然保护地法规规章、监督管理长效机制，提 升自然生态空间承载力 ，加快整合归并优化各类自然保护 地，创建黄山国家公园，构建以国家公园为主体、各级自然 保护区为基础，各类自然公园为补充的自然保护地体系，科 学划定自然保护地范围及分区，严格管控人为活动。建立生 态环境保护综合执法与自然资源、水利、林业、农业等相关执法队伍的协同执法工作机制，及时查处和跟踪督办各类生 态破坏问题。加快自然保护地间的生态廊道建设，实现有效 连通，保持自然生态原真性和自然文化遗产完整性。</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3．加强生物多样性保护。探索建立生物多样性保护优 先区域监管制度体系，推动生物多样性指标纳入生态质量评 价与成效考核体系。健全生物安全管理和应急处置机制，强 化生物安全风险管控，加强对重点区域外来入侵物种防控。 针对皖南山区、大别山区等重点区域实施生物多样性保护重 大工程，完善生物多样性保护网络，加大对国家重点保护和 珍稀濒危野生动植物及其栖息地、原生境的保护修复力度， 加强长江、巢湖禁渔休渔措施检查监督力度，依法严厉打击 偷猎偷捕、违规贩卖及加工利用野生动植物等违法行为。提 高城市生物多样性保护，优化城市绿地布局，建设绿道绿廊， 使城市森林、绿地、水系、河湖等形成完整的生态网络。</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20" w:name="_Toc2383"/>
      <w:r>
        <w:rPr>
          <w:rFonts w:cs="Arial"/>
          <w:b/>
          <w:color w:val="000000" w:themeColor="text1"/>
          <w:sz w:val="28"/>
          <w:szCs w:val="28"/>
          <w14:textFill>
            <w14:solidFill>
              <w14:schemeClr w14:val="tx1"/>
            </w14:solidFill>
          </w14:textFill>
        </w:rPr>
        <w:t>（ 六）严防生态环境风险</w:t>
      </w:r>
      <w:bookmarkEnd w:id="20"/>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50" w:firstLineChars="200"/>
        <w:textAlignment w:val="baseline"/>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3"/>
          <w:sz w:val="28"/>
          <w:szCs w:val="28"/>
          <w:lang w:val="en-US" w:eastAsia="zh-CN"/>
          <w14:textFill>
            <w14:solidFill>
              <w14:schemeClr w14:val="tx1"/>
            </w14:solidFill>
          </w14:textFill>
        </w:rPr>
        <w:t>1.</w:t>
      </w:r>
      <w:r>
        <w:rPr>
          <w:rFonts w:hint="eastAsia" w:ascii="宋体" w:hAnsi="宋体" w:eastAsia="宋体" w:cs="宋体"/>
          <w:b/>
          <w:bCs/>
          <w:color w:val="000000" w:themeColor="text1"/>
          <w:spacing w:val="-3"/>
          <w:sz w:val="28"/>
          <w:szCs w:val="28"/>
          <w14:textFill>
            <w14:solidFill>
              <w14:schemeClr w14:val="tx1"/>
            </w14:solidFill>
          </w14:textFill>
        </w:rPr>
        <w:t>建立完善风险防控和环境健康管理体系</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完善省、市、县三级突发环境事件应急管理体系，深入 推进跨区域、跨部门突发环境事件应急协调和救援机制。健 全突发环境事件应急信息管理系统 ，提高环境风险防控能 力。构建生产、运输、贮存、处置环节的环境风险预警网络， 加强政府和部门突发环境事件应急预案管理，完善环境应急 管理及专家队伍建设，发展培养社会化应急处置力量，强化 环境应急物资储备和信息化建设，按照分级分区原则，加强应急监测装备及人员配置，形成同时应对区域内两起突发环 境事件的应急监测能力。完善“事前、事中、事后”全过程、 多层级环境风险防范体系，针对重点区域、重点流域定期开 展环境风险排查和整治。以化工园区、尾矿库、冶炼企业等 为重点，严格落实企业生态环境风险防范主体责任。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推动生态环境与健康基础、生物安全等领域环境与健康 科学研究，组织开展居民生态环境与健康素养监测，确定重 点工作领域，开展生态环境与健康素养科普行动，鼓励开展 区域生态环境与健康调查评估，逐步将环境健康风险融入生 态环境管理制度。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50" w:firstLineChars="200"/>
        <w:textAlignment w:val="baseline"/>
        <w:rPr>
          <w:rFonts w:hint="eastAsia" w:ascii="宋体" w:hAnsi="宋体" w:eastAsia="宋体" w:cs="宋体"/>
          <w:b/>
          <w:bCs/>
          <w:color w:val="000000" w:themeColor="text1"/>
          <w:spacing w:val="-3"/>
          <w:sz w:val="28"/>
          <w:szCs w:val="28"/>
          <w:lang w:val="en-US" w:eastAsia="zh-CN"/>
          <w14:textFill>
            <w14:solidFill>
              <w14:schemeClr w14:val="tx1"/>
            </w14:solidFill>
          </w14:textFill>
        </w:rPr>
      </w:pPr>
      <w:r>
        <w:rPr>
          <w:rFonts w:hint="eastAsia" w:ascii="宋体" w:hAnsi="宋体" w:eastAsia="宋体" w:cs="宋体"/>
          <w:b/>
          <w:bCs/>
          <w:color w:val="000000" w:themeColor="text1"/>
          <w:spacing w:val="-3"/>
          <w:sz w:val="28"/>
          <w:szCs w:val="28"/>
          <w:lang w:val="en-US" w:eastAsia="zh-CN"/>
          <w14:textFill>
            <w14:solidFill>
              <w14:schemeClr w14:val="tx1"/>
            </w14:solidFill>
          </w14:textFill>
        </w:rPr>
        <w:t>2．强化固体废物、重金属、新污染物环境风险防控</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 1 ）加强固体废物污染防治。积极推动合肥及沿江沿 淮城市开展“无废城市”建设。建立健全重点行业工业固体废 物排污许可管理制度。推动大宗工业固体废物综合利用，培 育和扶持煤矸石、粉煤灰、脱硫石膏等大宗固体废物综合利 用专业化现代企业，构建新型循环经济产业链及资源综合利 用关联企业集群，支持资源综合利用重大示范工程和循环利 用产业基地建设。加强尾矿库污染治理，落实尾矿库分级分 类环境管理制度，实施“一库一策” 。加快推进生活垃圾分类 和源头减量，加强废塑料污染治理，减少一次性塑料制品消 费量，推动快递、外卖行业包装“减塑” ，探索实施饮料纸基 复合包装物为重点的生产者责任延伸制度。合力打击固体废 物走私，坚决杜绝“洋垃圾”入境。</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（2 ）强化危险废物环境监管。着力加强危险废物环境 监管能力建设，提升人员监管能力和水平，加快省内危险废 物鉴别机构建设。完善危险废物重点监管单位清单，持续推 行危险废物规范化环境管理。提升信息化监管能力和水平， 探索利用互联网、大数据、人工智能等技术，对危险废物实 施全过程信息化监管。按照“省域内能力总体匹配”的原则， 科学统筹危险废物处置能力建设，推动将危险废物集中处置 设施纳入当地公共基础设施统筹建设，促进危险废物利用处 置产业高质量发展。落实危险废物分级分类管理，深入排查 危险废物环境风险隐患，持续开展危险废物专项整治，严厉 打击涉危险废物违法犯罪行为。</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 3 ）持续推进重金属污染防控。对排放重金属污染物 的重点行业，严格按照“等量置换、减量置换”原则实施重金 属排放总量控制。聚焦铅、汞、镉等重金属污染物，深入推 进重点河流湖库、水源地、农田等环境敏感区域周边涉重金 属企业污染综合治理。在矿产开发集中区域实施有色等行业 污染整治提升行动，开展有色电镀、铅蓄电池制造等行业废 水“零排放”问题排查整治。加快淘汰涉重金属重点行业落后 产能，以结构调整、升级改造和深度治理为主要手段，推动 实施一批重金属减排重点工程，持续减少重金属排放。</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（4 ）加快补齐医疗废物处置能力短板。推动各县（ 市、 区）尽快建成医疗废物收集转运处置体系，实现医疗废物应 收尽收，确保及时、高效、科学、规范处置。对达到或接近设计运行年限的医疗废物处置设施 ，及时督促实施提标改 造； 对不能满足本地医疗废物处置需求的，尽快组织通过新 改扩建等方式提升集中处置能力。鼓励人 口 50 万以上的县 （ 市、区 ）因地制宜建设医疗废物集中处置设施。建立平战 结合的医疗废物应急处置体系，将现有危险废物、生活垃圾 焚烧设施和协同处置固体废物的水泥窑等作为医疗废物应 急处置资源。严厉打击医疗废物非法买卖等行为，建立医疗 废物特许经营退出机制。</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 5 ）加强新污染物环境风险防控工作。积极落实优先 控制化学品管控措施，加强新化学物质环境风险管理，重点 防范持久性有机污染物、汞等化学物质的环境风险，严格履 行化学品环境国际公约要求，积极开展特定类别化学物质环 境调查，推进化学物质环境风险评估。对使用有毒有害化学 物质或在生产过程中排放有毒有害物质的企业，全面实施强 制性清洁生产审核，严格执行产品质量标准中有毒有害化学 物质的含量限值，加强农药、石化、涂料、印染、医药等行 业新污染物环境风险管控。</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50" w:firstLineChars="200"/>
        <w:textAlignment w:val="baseline"/>
        <w:rPr>
          <w:rFonts w:hint="eastAsia" w:ascii="宋体" w:hAnsi="宋体" w:eastAsia="宋体" w:cs="宋体"/>
          <w:b/>
          <w:bCs/>
          <w:color w:val="000000" w:themeColor="text1"/>
          <w:spacing w:val="-3"/>
          <w:sz w:val="28"/>
          <w:szCs w:val="28"/>
          <w:lang w:val="en-US" w:eastAsia="zh-CN"/>
          <w14:textFill>
            <w14:solidFill>
              <w14:schemeClr w14:val="tx1"/>
            </w14:solidFill>
          </w14:textFill>
        </w:rPr>
      </w:pPr>
      <w:r>
        <w:rPr>
          <w:rFonts w:hint="eastAsia" w:ascii="宋体" w:hAnsi="宋体" w:eastAsia="宋体" w:cs="宋体"/>
          <w:b/>
          <w:bCs/>
          <w:color w:val="000000" w:themeColor="text1"/>
          <w:spacing w:val="-3"/>
          <w:sz w:val="28"/>
          <w:szCs w:val="28"/>
          <w:lang w:val="en-US" w:eastAsia="zh-CN"/>
          <w14:textFill>
            <w14:solidFill>
              <w14:schemeClr w14:val="tx1"/>
            </w14:solidFill>
          </w14:textFill>
        </w:rPr>
        <w:t>3．提升辐射安全监管水平</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推进放射性污染防治，强化辐射安全监管能力建设，建 立更加完善的核与辐射安全协调机制，形成覆盖面更广、监 管效能更高的现代化辐射安全监管网络，全省运行、在建核 技术利用项目辐射安全水平显著提高，停运核技术利用项 目 及时有效处理处置。完善省级辐射环境监测网络，提高核与辐射应急监测能力，构建覆盖全省的辐射事故应急人员、物 资储备和调配体系，应急处置能力显著提升，继续保持放射 源辐射事故发生率处于低位。完善输变电、广电通讯类建设 项目事前审批、事中事后监管的管理体系。</w:t>
      </w:r>
    </w:p>
    <w:p>
      <w:pPr>
        <w:pageBreakBefore w:val="0"/>
        <w:widowControl/>
        <w:kinsoku w:val="0"/>
        <w:wordWrap/>
        <w:overflowPunct/>
        <w:topLinePunct w:val="0"/>
        <w:autoSpaceDE w:val="0"/>
        <w:autoSpaceDN w:val="0"/>
        <w:bidi w:val="0"/>
        <w:adjustRightInd w:val="0"/>
        <w:snapToGrid w:val="0"/>
        <w:spacing w:line="43" w:lineRule="exact"/>
        <w:rPr>
          <w:color w:val="000000" w:themeColor="text1"/>
          <w:sz w:val="28"/>
          <w:szCs w:val="28"/>
          <w14:textFill>
            <w14:solidFill>
              <w14:schemeClr w14:val="tx1"/>
            </w14:solidFill>
          </w14:textFill>
        </w:rPr>
      </w:pPr>
    </w:p>
    <w:tbl>
      <w:tblPr>
        <w:tblStyle w:val="8"/>
        <w:tblW w:w="8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8839" w:type="dxa"/>
            <w:vAlign w:val="top"/>
          </w:tcPr>
          <w:p>
            <w:pPr>
              <w:pageBreakBefore w:val="0"/>
              <w:widowControl/>
              <w:kinsoku w:val="0"/>
              <w:wordWrap/>
              <w:overflowPunct/>
              <w:topLinePunct w:val="0"/>
              <w:autoSpaceDE w:val="0"/>
              <w:autoSpaceDN w:val="0"/>
              <w:bidi w:val="0"/>
              <w:adjustRightInd w:val="0"/>
              <w:snapToGrid w:val="0"/>
              <w:spacing w:before="152" w:line="206" w:lineRule="auto"/>
              <w:ind w:firstLine="3137"/>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4"/>
                <w:sz w:val="28"/>
                <w:szCs w:val="28"/>
                <w14:textFill>
                  <w14:solidFill>
                    <w14:schemeClr w14:val="tx1"/>
                  </w14:solidFill>
                </w14:textFill>
              </w:rPr>
              <w:t>专栏</w:t>
            </w:r>
            <w:r>
              <w:rPr>
                <w:rFonts w:ascii="黑体" w:hAnsi="黑体" w:eastAsia="黑体" w:cs="黑体"/>
                <w:color w:val="000000" w:themeColor="text1"/>
                <w:spacing w:val="-48"/>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4"/>
                <w:sz w:val="28"/>
                <w:szCs w:val="28"/>
                <w14:textFill>
                  <w14:solidFill>
                    <w14:schemeClr w14:val="tx1"/>
                  </w14:solidFill>
                </w14:textFill>
              </w:rPr>
              <w:t>5</w:t>
            </w:r>
            <w:r>
              <w:rPr>
                <w:rFonts w:ascii="Times New Roman" w:hAnsi="Times New Roman" w:eastAsia="Times New Roman" w:cs="Times New Roman"/>
                <w:color w:val="000000" w:themeColor="text1"/>
                <w:spacing w:val="4"/>
                <w:sz w:val="28"/>
                <w:szCs w:val="28"/>
                <w14:textFill>
                  <w14:solidFill>
                    <w14:schemeClr w14:val="tx1"/>
                  </w14:solidFill>
                </w14:textFill>
              </w:rPr>
              <w:t xml:space="preserve">  </w:t>
            </w:r>
            <w:r>
              <w:rPr>
                <w:rFonts w:ascii="黑体" w:hAnsi="黑体" w:eastAsia="黑体" w:cs="黑体"/>
                <w:color w:val="000000" w:themeColor="text1"/>
                <w:spacing w:val="-4"/>
                <w:sz w:val="28"/>
                <w:szCs w:val="28"/>
                <w14:textFill>
                  <w14:solidFill>
                    <w14:schemeClr w14:val="tx1"/>
                  </w14:solidFill>
                </w14:textFill>
              </w:rPr>
              <w:t>治废领域重大工程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5" w:hRule="atLeast"/>
        </w:trPr>
        <w:tc>
          <w:tcPr>
            <w:tcW w:w="8839" w:type="dxa"/>
            <w:vAlign w:val="top"/>
          </w:tcPr>
          <w:p>
            <w:pPr>
              <w:pageBreakBefore w:val="0"/>
              <w:widowControl/>
              <w:kinsoku w:val="0"/>
              <w:wordWrap/>
              <w:overflowPunct/>
              <w:topLinePunct w:val="0"/>
              <w:autoSpaceDE w:val="0"/>
              <w:autoSpaceDN w:val="0"/>
              <w:bidi w:val="0"/>
              <w:adjustRightInd w:val="0"/>
              <w:snapToGrid w:val="0"/>
              <w:spacing w:before="159" w:line="325" w:lineRule="auto"/>
              <w:ind w:left="116" w:right="106" w:firstLine="492"/>
              <w:rPr>
                <w:rFonts w:ascii="黑体" w:hAnsi="黑体" w:eastAsia="黑体" w:cs="黑体"/>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w:t>
            </w:r>
            <w:r>
              <w:rPr>
                <w:rFonts w:ascii="黑体" w:hAnsi="黑体" w:eastAsia="黑体" w:cs="黑体"/>
                <w:color w:val="000000" w:themeColor="text1"/>
                <w:sz w:val="28"/>
                <w:szCs w:val="28"/>
                <w14:textOutline w14:w="5103" w14:cap="sq" w14:cmpd="sng">
                  <w14:solidFill>
                    <w14:srgbClr w14:val="000000"/>
                  </w14:solidFill>
                  <w14:prstDash w14:val="solid"/>
                  <w14:bevel/>
                </w14:textOutline>
                <w14:textFill>
                  <w14:solidFill>
                    <w14:schemeClr w14:val="tx1"/>
                  </w14:solidFill>
                </w14:textFill>
              </w:rPr>
              <w:t>无废城市</w:t>
            </w:r>
            <w:r>
              <w:rPr>
                <w:rFonts w:ascii="Times New Roman" w:hAnsi="Times New Roman" w:eastAsia="Times New Roman" w:cs="Times New Roman"/>
                <w:b/>
                <w:bCs/>
                <w:color w:val="000000" w:themeColor="text1"/>
                <w:sz w:val="28"/>
                <w:szCs w:val="28"/>
                <w14:textFill>
                  <w14:solidFill>
                    <w14:schemeClr w14:val="tx1"/>
                  </w14:solidFill>
                </w14:textFill>
              </w:rPr>
              <w:t>”</w:t>
            </w:r>
            <w:r>
              <w:rPr>
                <w:rFonts w:ascii="黑体" w:hAnsi="黑体" w:eastAsia="黑体" w:cs="黑体"/>
                <w:color w:val="000000" w:themeColor="text1"/>
                <w:sz w:val="28"/>
                <w:szCs w:val="28"/>
                <w14:textOutline w14:w="5103" w14:cap="sq" w14:cmpd="sng">
                  <w14:solidFill>
                    <w14:srgbClr w14:val="000000"/>
                  </w14:solidFill>
                  <w14:prstDash w14:val="solid"/>
                  <w14:bevel/>
                </w14:textOutline>
                <w14:textFill>
                  <w14:solidFill>
                    <w14:schemeClr w14:val="tx1"/>
                  </w14:solidFill>
                </w14:textFill>
              </w:rPr>
              <w:t>建设工程。</w:t>
            </w:r>
            <w:r>
              <w:rPr>
                <w:rFonts w:ascii="黑体" w:hAnsi="黑体" w:eastAsia="黑体" w:cs="黑体"/>
                <w:color w:val="000000" w:themeColor="text1"/>
                <w:sz w:val="28"/>
                <w:szCs w:val="28"/>
                <w14:textFill>
                  <w14:solidFill>
                    <w14:schemeClr w14:val="tx1"/>
                  </w14:solidFill>
                </w14:textFill>
              </w:rPr>
              <w:t>推动合肥及沿江沿淮城市开展</w:t>
            </w:r>
            <w:r>
              <w:rPr>
                <w:rFonts w:ascii="Times New Roman" w:hAnsi="Times New Roman" w:eastAsia="Times New Roman" w:cs="Times New Roman"/>
                <w:color w:val="000000" w:themeColor="text1"/>
                <w:sz w:val="28"/>
                <w:szCs w:val="28"/>
                <w14:textFill>
                  <w14:solidFill>
                    <w14:schemeClr w14:val="tx1"/>
                  </w14:solidFill>
                </w14:textFill>
              </w:rPr>
              <w:t>“</w:t>
            </w:r>
            <w:r>
              <w:rPr>
                <w:rFonts w:ascii="黑体" w:hAnsi="黑体" w:eastAsia="黑体" w:cs="黑体"/>
                <w:color w:val="000000" w:themeColor="text1"/>
                <w:sz w:val="28"/>
                <w:szCs w:val="28"/>
                <w14:textFill>
                  <w14:solidFill>
                    <w14:schemeClr w14:val="tx1"/>
                  </w14:solidFill>
                </w14:textFill>
              </w:rPr>
              <w:t>无废城市</w:t>
            </w:r>
            <w:r>
              <w:rPr>
                <w:rFonts w:ascii="Times New Roman" w:hAnsi="Times New Roman" w:eastAsia="Times New Roman" w:cs="Times New Roman"/>
                <w:color w:val="000000" w:themeColor="text1"/>
                <w:sz w:val="28"/>
                <w:szCs w:val="28"/>
                <w14:textFill>
                  <w14:solidFill>
                    <w14:schemeClr w14:val="tx1"/>
                  </w14:solidFill>
                </w14:textFill>
              </w:rPr>
              <w:t>”</w:t>
            </w:r>
            <w:r>
              <w:rPr>
                <w:rFonts w:ascii="黑体" w:hAnsi="黑体" w:eastAsia="黑体" w:cs="黑体"/>
                <w:color w:val="000000" w:themeColor="text1"/>
                <w:sz w:val="28"/>
                <w:szCs w:val="28"/>
                <w14:textFill>
                  <w14:solidFill>
                    <w14:schemeClr w14:val="tx1"/>
                  </w14:solidFill>
                </w14:textFill>
              </w:rPr>
              <w:t>建</w:t>
            </w:r>
            <w:r>
              <w:rPr>
                <w:rFonts w:ascii="黑体" w:hAnsi="黑体" w:eastAsia="黑体" w:cs="黑体"/>
                <w:color w:val="000000" w:themeColor="text1"/>
                <w:spacing w:val="29"/>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设工程。</w:t>
            </w:r>
          </w:p>
          <w:p>
            <w:pPr>
              <w:pageBreakBefore w:val="0"/>
              <w:widowControl/>
              <w:kinsoku w:val="0"/>
              <w:wordWrap/>
              <w:overflowPunct/>
              <w:topLinePunct w:val="0"/>
              <w:autoSpaceDE w:val="0"/>
              <w:autoSpaceDN w:val="0"/>
              <w:bidi w:val="0"/>
              <w:adjustRightInd w:val="0"/>
              <w:snapToGrid w:val="0"/>
              <w:spacing w:before="16" w:line="286" w:lineRule="auto"/>
              <w:ind w:left="125" w:firstLine="590"/>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10"/>
                <w:sz w:val="28"/>
                <w:szCs w:val="28"/>
                <w14:textOutline w14:w="5103" w14:cap="sq" w14:cmpd="sng">
                  <w14:solidFill>
                    <w14:srgbClr w14:val="000000"/>
                  </w14:solidFill>
                  <w14:prstDash w14:val="solid"/>
                  <w14:bevel/>
                </w14:textOutline>
                <w14:textFill>
                  <w14:solidFill>
                    <w14:schemeClr w14:val="tx1"/>
                  </w14:solidFill>
                </w14:textFill>
              </w:rPr>
              <w:t>固体废物防治工程。</w:t>
            </w:r>
            <w:r>
              <w:rPr>
                <w:rFonts w:ascii="黑体" w:hAnsi="黑体" w:eastAsia="黑体" w:cs="黑体"/>
                <w:color w:val="000000" w:themeColor="text1"/>
                <w:spacing w:val="-10"/>
                <w:sz w:val="28"/>
                <w:szCs w:val="28"/>
                <w14:textFill>
                  <w14:solidFill>
                    <w14:schemeClr w14:val="tx1"/>
                  </w14:solidFill>
                </w14:textFill>
              </w:rPr>
              <w:t>实施危险废物、一般工业固体废物、生活垃圾、</w:t>
            </w:r>
            <w:r>
              <w:rPr>
                <w:rFonts w:ascii="黑体" w:hAnsi="黑体" w:eastAsia="黑体" w:cs="黑体"/>
                <w:color w:val="000000" w:themeColor="text1"/>
                <w:spacing w:val="17"/>
                <w:sz w:val="28"/>
                <w:szCs w:val="28"/>
                <w14:textFill>
                  <w14:solidFill>
                    <w14:schemeClr w14:val="tx1"/>
                  </w14:solidFill>
                </w14:textFill>
              </w:rPr>
              <w:t xml:space="preserve"> </w:t>
            </w:r>
            <w:r>
              <w:rPr>
                <w:rFonts w:ascii="黑体" w:hAnsi="黑体" w:eastAsia="黑体" w:cs="黑体"/>
                <w:color w:val="000000" w:themeColor="text1"/>
                <w:spacing w:val="-3"/>
                <w:sz w:val="28"/>
                <w:szCs w:val="28"/>
                <w14:textFill>
                  <w14:solidFill>
                    <w14:schemeClr w14:val="tx1"/>
                  </w14:solidFill>
                </w14:textFill>
              </w:rPr>
              <w:t>建筑垃圾、农业废弃物等固体废物处置和综合利用设施建设工程。实施</w:t>
            </w:r>
            <w:r>
              <w:rPr>
                <w:rFonts w:ascii="黑体" w:hAnsi="黑体" w:eastAsia="黑体" w:cs="黑体"/>
                <w:color w:val="000000" w:themeColor="text1"/>
                <w:spacing w:val="14"/>
                <w:sz w:val="28"/>
                <w:szCs w:val="28"/>
                <w14:textFill>
                  <w14:solidFill>
                    <w14:schemeClr w14:val="tx1"/>
                  </w14:solidFill>
                </w14:textFill>
              </w:rPr>
              <w:t xml:space="preserve"> </w:t>
            </w:r>
            <w:r>
              <w:rPr>
                <w:rFonts w:ascii="黑体" w:hAnsi="黑体" w:eastAsia="黑体" w:cs="黑体"/>
                <w:color w:val="000000" w:themeColor="text1"/>
                <w:spacing w:val="-1"/>
                <w:sz w:val="28"/>
                <w:szCs w:val="28"/>
                <w14:textFill>
                  <w14:solidFill>
                    <w14:schemeClr w14:val="tx1"/>
                  </w14:solidFill>
                </w14:textFill>
              </w:rPr>
              <w:t>小微产废企业及实验室等固体废物集中统一收运体系建设工程。</w:t>
            </w:r>
          </w:p>
        </w:tc>
      </w:tr>
    </w:tbl>
    <w:p>
      <w:pPr>
        <w:bidi w:val="0"/>
        <w:rPr>
          <w:rFonts w:hint="eastAsia"/>
          <w:color w:val="000000" w:themeColor="text1"/>
          <w14:textFill>
            <w14:solidFill>
              <w14:schemeClr w14:val="tx1"/>
            </w14:solidFill>
          </w14:textFill>
        </w:rPr>
      </w:pPr>
      <w:bookmarkStart w:id="21" w:name="_Toc13210"/>
    </w:p>
    <w:p>
      <w:pPr>
        <w:pStyle w:val="2"/>
        <w:keepNext/>
        <w:keepLines/>
        <w:pageBreakBefore w:val="0"/>
        <w:widowControl/>
        <w:kinsoku w:val="0"/>
        <w:wordWrap/>
        <w:overflowPunct/>
        <w:topLinePunct w:val="0"/>
        <w:autoSpaceDE w:val="0"/>
        <w:autoSpaceDN w:val="0"/>
        <w:bidi w:val="0"/>
        <w:adjustRightInd w:val="0"/>
        <w:snapToGrid w:val="0"/>
        <w:spacing w:before="0" w:after="0" w:line="360" w:lineRule="auto"/>
        <w:textAlignment w:val="baseline"/>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五、协同实施区域共保联治</w:t>
      </w:r>
      <w:bookmarkEnd w:id="21"/>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坚持共建共享和共保联治，落实推动共建“ 一带一路” 、 统筹推进长江经济带发展、长三角一体化发展、中部地区高 质量发展等国家战略，聚焦生态环境保护区域性、跨界性重 点难点问题，健全区域生态环境保护协作机制，探索建立区 域生态环境共保联治新路径。</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22" w:name="_Toc5603"/>
      <w:r>
        <w:rPr>
          <w:rFonts w:cs="Arial"/>
          <w:b/>
          <w:color w:val="000000" w:themeColor="text1"/>
          <w:sz w:val="28"/>
          <w:szCs w:val="28"/>
          <w14:textFill>
            <w14:solidFill>
              <w14:schemeClr w14:val="tx1"/>
            </w14:solidFill>
          </w14:textFill>
        </w:rPr>
        <w:t>（ 一）共保区域生态系统</w:t>
      </w:r>
      <w:bookmarkEnd w:id="22"/>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以自然保护地等生态敏感区为重点，合力保护跨省重要 生态系统，整体提升区域生态系统功能。协同推进天然林保 护，共筑皖南— 浙西— 浙南山区绿色生态屏障。协同推进以 长江、淮河— 洪泽湖、新安江水道为重点的生态廊道建设， 完善区域一体化生态保护网络。加强长三角一市三省生态保 护红线在跨界区域无缝衔接，建立跨区域生态保护红线统一 监管机制，完善生态保护红线内重大工程跨地区协商制度。</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推动建立沿江联动保护机制，加强江豚、中华鲟等珍稀濒危 水生物种栖息地保护，强化农业野生植物原生境、天然渔业 资源保护。</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62" w:firstLineChars="200"/>
        <w:textAlignment w:val="baseline"/>
        <w:rPr>
          <w:rFonts w:cs="Arial"/>
          <w:b/>
          <w:color w:val="000000" w:themeColor="text1"/>
          <w:sz w:val="28"/>
          <w:szCs w:val="28"/>
          <w14:textFill>
            <w14:solidFill>
              <w14:schemeClr w14:val="tx1"/>
            </w14:solidFill>
          </w14:textFill>
        </w:rPr>
      </w:pPr>
      <w:bookmarkStart w:id="23" w:name="_Toc13500"/>
      <w:r>
        <w:rPr>
          <w:rFonts w:cs="Arial"/>
          <w:b/>
          <w:color w:val="000000" w:themeColor="text1"/>
          <w:sz w:val="28"/>
          <w:szCs w:val="28"/>
          <w14:textFill>
            <w14:solidFill>
              <w14:schemeClr w14:val="tx1"/>
            </w14:solidFill>
          </w14:textFill>
        </w:rPr>
        <w:t>（二）共治跨界环境污染</w:t>
      </w:r>
      <w:bookmarkEnd w:id="23"/>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推进区域大气污染联防联控 ，加强重污染天气应急联动，统一区域重污染天气应急启动标准，合作探索臭氧有效 应对措施，提升空气质量预测预报能力，深化大气环境信息 共享机制。完善重点跨界水体联保工作机制，推动实施区域跨界水体上下游及左右岸联动治理，全面加强水污染治理协 作。联合推动区域土壤污染防治制度建设，共同研究制定电 镀、印染、化工等重点行业企业用地土壤污染防治相关技术 规范。加强长三角区域固废危废联防联治，严厉打击固废危 废非法跨界转移、倾倒等违法犯罪活动。协同推进区域噪声 污染治理。</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46" w:firstLineChars="200"/>
        <w:textAlignment w:val="baseline"/>
        <w:rPr>
          <w:rFonts w:ascii="黑体" w:hAnsi="黑体" w:eastAsia="黑体" w:cs="黑体"/>
          <w:color w:val="000000" w:themeColor="text1"/>
          <w:sz w:val="28"/>
          <w:szCs w:val="28"/>
          <w14:textFill>
            <w14:solidFill>
              <w14:schemeClr w14:val="tx1"/>
            </w14:solidFill>
          </w14:textFill>
        </w:rPr>
      </w:pPr>
      <w:bookmarkStart w:id="24" w:name="_Toc2943"/>
      <w:r>
        <w:rPr>
          <w:rFonts w:ascii="黑体" w:hAnsi="黑体" w:eastAsia="黑体" w:cs="黑体"/>
          <w:color w:val="000000" w:themeColor="text1"/>
          <w:spacing w:val="-4"/>
          <w:sz w:val="28"/>
          <w:szCs w:val="28"/>
          <w14:textFill>
            <w14:solidFill>
              <w14:schemeClr w14:val="tx1"/>
            </w14:solidFill>
          </w14:textFill>
        </w:rPr>
        <w:t>（三）共建区域生态环境协作机制</w:t>
      </w:r>
      <w:bookmarkEnd w:id="24"/>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以长江经济带发展、长三角一体化发展、中部地区高质 量发展等国家区域战略为重点，加强协同治理、同保共享和 引领示范。协同推进生态环境标准、监测和执法“三统一”， 推动生态环境保护领域严重失信行为联合惩戒。探索建立跨 行政区生态环境基础设施建设和运营管理协调机制。探索推 进跨界地区、毗邻地区生态环境联合监测，完善区域环境信 息共享机制。加强区域应急联动，推动区域环境应急物资储 备统筹共享。推动完善区域生态补偿制度体系，探索建立资金、技术、人才、产业等相结合的补偿模式，健全市场化、 多元化生态补偿长效机制。总结推广新安江流域生态补偿机 制经验，高水平建设新安江— 千岛湖生态补偿试验区。</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42" w:firstLineChars="200"/>
        <w:textAlignment w:val="baseline"/>
        <w:rPr>
          <w:rFonts w:ascii="黑体" w:hAnsi="黑体" w:eastAsia="黑体" w:cs="黑体"/>
          <w:color w:val="000000" w:themeColor="text1"/>
          <w:sz w:val="28"/>
          <w:szCs w:val="28"/>
          <w14:textFill>
            <w14:solidFill>
              <w14:schemeClr w14:val="tx1"/>
            </w14:solidFill>
          </w14:textFill>
        </w:rPr>
      </w:pPr>
      <w:bookmarkStart w:id="25" w:name="_Toc8192"/>
      <w:r>
        <w:rPr>
          <w:rFonts w:ascii="黑体" w:hAnsi="黑体" w:eastAsia="黑体" w:cs="黑体"/>
          <w:color w:val="000000" w:themeColor="text1"/>
          <w:spacing w:val="-5"/>
          <w:sz w:val="28"/>
          <w:szCs w:val="28"/>
          <w14:textFill>
            <w14:solidFill>
              <w14:schemeClr w14:val="tx1"/>
            </w14:solidFill>
          </w14:textFill>
        </w:rPr>
        <w:t>（</w:t>
      </w:r>
      <w:r>
        <w:rPr>
          <w:rFonts w:ascii="黑体" w:hAnsi="黑体" w:eastAsia="黑体" w:cs="黑体"/>
          <w:color w:val="000000" w:themeColor="text1"/>
          <w:spacing w:val="-72"/>
          <w:sz w:val="28"/>
          <w:szCs w:val="28"/>
          <w14:textFill>
            <w14:solidFill>
              <w14:schemeClr w14:val="tx1"/>
            </w14:solidFill>
          </w14:textFill>
        </w:rPr>
        <w:t xml:space="preserve"> </w:t>
      </w:r>
      <w:r>
        <w:rPr>
          <w:rFonts w:ascii="黑体" w:hAnsi="黑体" w:eastAsia="黑体" w:cs="黑体"/>
          <w:color w:val="000000" w:themeColor="text1"/>
          <w:spacing w:val="-5"/>
          <w:sz w:val="28"/>
          <w:szCs w:val="28"/>
          <w14:textFill>
            <w14:solidFill>
              <w14:schemeClr w14:val="tx1"/>
            </w14:solidFill>
          </w14:textFill>
        </w:rPr>
        <w:t>四）共推毗邻地区生态环境建设</w:t>
      </w:r>
      <w:bookmarkEnd w:id="25"/>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积极争取长三角一市三省编制制定“ 一地六县”生态优先 绿色发展产业集中合作区生态环境保护专项规划。强化顶山 — 汊河、浦 口— 南谯、江宁—博望“3+N”等省际毗邻地区生 态环境共保联治。探索在毗邻地区推进环评与排污许可跨行政区域联动机制，建立完善以排污许可为核心的固定源管理体系。进一步加强生态环境质量、污染源等信息数据共享机 制。共同组建生态环境联合执法队伍，打破行政壁垒，开展 联合执法巡查。鼓励滁州、马鞍山市建立与江苏省同等生态 环保考评体系。</w:t>
      </w:r>
    </w:p>
    <w:p>
      <w:pPr>
        <w:pageBreakBefore w:val="0"/>
        <w:widowControl/>
        <w:kinsoku w:val="0"/>
        <w:wordWrap/>
        <w:overflowPunct/>
        <w:topLinePunct w:val="0"/>
        <w:autoSpaceDE w:val="0"/>
        <w:autoSpaceDN w:val="0"/>
        <w:bidi w:val="0"/>
        <w:adjustRightInd w:val="0"/>
        <w:snapToGrid w:val="0"/>
        <w:spacing w:line="43" w:lineRule="exact"/>
        <w:rPr>
          <w:color w:val="000000" w:themeColor="text1"/>
          <w:sz w:val="28"/>
          <w:szCs w:val="28"/>
          <w14:textFill>
            <w14:solidFill>
              <w14:schemeClr w14:val="tx1"/>
            </w14:solidFill>
          </w14:textFill>
        </w:rPr>
      </w:pPr>
    </w:p>
    <w:tbl>
      <w:tblPr>
        <w:tblStyle w:val="8"/>
        <w:tblW w:w="8907" w:type="dxa"/>
        <w:tblInd w:w="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8907" w:type="dxa"/>
            <w:vAlign w:val="top"/>
          </w:tcPr>
          <w:p>
            <w:pPr>
              <w:pageBreakBefore w:val="0"/>
              <w:widowControl/>
              <w:kinsoku w:val="0"/>
              <w:wordWrap/>
              <w:overflowPunct/>
              <w:topLinePunct w:val="0"/>
              <w:autoSpaceDE w:val="0"/>
              <w:autoSpaceDN w:val="0"/>
              <w:bidi w:val="0"/>
              <w:adjustRightInd w:val="0"/>
              <w:snapToGrid w:val="0"/>
              <w:spacing w:before="152" w:line="206" w:lineRule="auto"/>
              <w:ind w:firstLine="2472"/>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3"/>
                <w:sz w:val="28"/>
                <w:szCs w:val="28"/>
                <w14:textFill>
                  <w14:solidFill>
                    <w14:schemeClr w14:val="tx1"/>
                  </w14:solidFill>
                </w14:textFill>
              </w:rPr>
              <w:t>专栏</w:t>
            </w:r>
            <w:r>
              <w:rPr>
                <w:rFonts w:ascii="黑体" w:hAnsi="黑体" w:eastAsia="黑体" w:cs="黑体"/>
                <w:color w:val="000000" w:themeColor="text1"/>
                <w:spacing w:val="-59"/>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3"/>
                <w:sz w:val="28"/>
                <w:szCs w:val="28"/>
                <w14:textFill>
                  <w14:solidFill>
                    <w14:schemeClr w14:val="tx1"/>
                  </w14:solidFill>
                </w14:textFill>
              </w:rPr>
              <w:t>6</w:t>
            </w:r>
            <w:r>
              <w:rPr>
                <w:rFonts w:ascii="Times New Roman" w:hAnsi="Times New Roman" w:eastAsia="Times New Roman" w:cs="Times New Roman"/>
                <w:color w:val="000000" w:themeColor="text1"/>
                <w:spacing w:val="7"/>
                <w:w w:val="101"/>
                <w:sz w:val="28"/>
                <w:szCs w:val="28"/>
                <w14:textFill>
                  <w14:solidFill>
                    <w14:schemeClr w14:val="tx1"/>
                  </w14:solidFill>
                </w14:textFill>
              </w:rPr>
              <w:t xml:space="preserve">  </w:t>
            </w:r>
            <w:r>
              <w:rPr>
                <w:rFonts w:ascii="黑体" w:hAnsi="黑体" w:eastAsia="黑体" w:cs="黑体"/>
                <w:color w:val="000000" w:themeColor="text1"/>
                <w:spacing w:val="-3"/>
                <w:sz w:val="28"/>
                <w:szCs w:val="28"/>
                <w14:textFill>
                  <w14:solidFill>
                    <w14:schemeClr w14:val="tx1"/>
                  </w14:solidFill>
                </w14:textFill>
              </w:rPr>
              <w:t>长三角共保联治重大工程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5" w:hRule="atLeast"/>
        </w:trPr>
        <w:tc>
          <w:tcPr>
            <w:tcW w:w="8907" w:type="dxa"/>
            <w:vAlign w:val="top"/>
          </w:tcPr>
          <w:p>
            <w:pPr>
              <w:pageBreakBefore w:val="0"/>
              <w:widowControl/>
              <w:kinsoku w:val="0"/>
              <w:wordWrap/>
              <w:overflowPunct/>
              <w:topLinePunct w:val="0"/>
              <w:autoSpaceDE w:val="0"/>
              <w:autoSpaceDN w:val="0"/>
              <w:bidi w:val="0"/>
              <w:adjustRightInd w:val="0"/>
              <w:snapToGrid w:val="0"/>
              <w:spacing w:before="155" w:line="298" w:lineRule="auto"/>
              <w:ind w:left="126" w:firstLine="574"/>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1"/>
                <w:sz w:val="28"/>
                <w:szCs w:val="28"/>
                <w14:textOutline w14:w="5102" w14:cap="sq" w14:cmpd="sng">
                  <w14:solidFill>
                    <w14:srgbClr w14:val="000000"/>
                  </w14:solidFill>
                  <w14:prstDash w14:val="solid"/>
                  <w14:bevel/>
                </w14:textOutline>
                <w14:textFill>
                  <w14:solidFill>
                    <w14:schemeClr w14:val="tx1"/>
                  </w14:solidFill>
                </w14:textFill>
              </w:rPr>
              <w:t>高水平建设新安江</w:t>
            </w:r>
            <w:r>
              <w:rPr>
                <w:rFonts w:ascii="Times New Roman" w:hAnsi="Times New Roman" w:eastAsia="Times New Roman" w:cs="Times New Roman"/>
                <w:b/>
                <w:bCs/>
                <w:color w:val="000000" w:themeColor="text1"/>
                <w:spacing w:val="-1"/>
                <w:sz w:val="28"/>
                <w:szCs w:val="28"/>
                <w14:textFill>
                  <w14:solidFill>
                    <w14:schemeClr w14:val="tx1"/>
                  </w14:solidFill>
                </w14:textFill>
              </w:rPr>
              <w:t>—</w:t>
            </w:r>
            <w:r>
              <w:rPr>
                <w:rFonts w:ascii="黑体" w:hAnsi="黑体" w:eastAsia="黑体" w:cs="黑体"/>
                <w:color w:val="000000" w:themeColor="text1"/>
                <w:spacing w:val="-1"/>
                <w:sz w:val="28"/>
                <w:szCs w:val="28"/>
                <w14:textOutline w14:w="5102" w14:cap="sq" w14:cmpd="sng">
                  <w14:solidFill>
                    <w14:srgbClr w14:val="000000"/>
                  </w14:solidFill>
                  <w14:prstDash w14:val="solid"/>
                  <w14:bevel/>
                </w14:textOutline>
                <w14:textFill>
                  <w14:solidFill>
                    <w14:schemeClr w14:val="tx1"/>
                  </w14:solidFill>
                </w14:textFill>
              </w:rPr>
              <w:t>千岛湖生态补偿示范工程。</w:t>
            </w:r>
            <w:r>
              <w:rPr>
                <w:rFonts w:ascii="黑体" w:hAnsi="黑体" w:eastAsia="黑体" w:cs="黑体"/>
                <w:color w:val="000000" w:themeColor="text1"/>
                <w:spacing w:val="-1"/>
                <w:sz w:val="28"/>
                <w:szCs w:val="28"/>
                <w14:textFill>
                  <w14:solidFill>
                    <w14:schemeClr w14:val="tx1"/>
                  </w14:solidFill>
                </w14:textFill>
              </w:rPr>
              <w:t>围绕新安江</w:t>
            </w:r>
            <w:r>
              <w:rPr>
                <w:rFonts w:ascii="Times New Roman" w:hAnsi="Times New Roman" w:eastAsia="Times New Roman" w:cs="Times New Roman"/>
                <w:color w:val="000000" w:themeColor="text1"/>
                <w:spacing w:val="-1"/>
                <w:sz w:val="28"/>
                <w:szCs w:val="28"/>
                <w14:textFill>
                  <w14:solidFill>
                    <w14:schemeClr w14:val="tx1"/>
                  </w14:solidFill>
                </w14:textFill>
              </w:rPr>
              <w:t>—</w:t>
            </w:r>
            <w:r>
              <w:rPr>
                <w:rFonts w:ascii="黑体" w:hAnsi="黑体" w:eastAsia="黑体" w:cs="黑体"/>
                <w:color w:val="000000" w:themeColor="text1"/>
                <w:spacing w:val="-1"/>
                <w:sz w:val="28"/>
                <w:szCs w:val="28"/>
                <w14:textFill>
                  <w14:solidFill>
                    <w14:schemeClr w14:val="tx1"/>
                  </w14:solidFill>
                </w14:textFill>
              </w:rPr>
              <w:t>千岛</w:t>
            </w:r>
            <w:r>
              <w:rPr>
                <w:rFonts w:ascii="黑体" w:hAnsi="黑体" w:eastAsia="黑体" w:cs="黑体"/>
                <w:color w:val="000000" w:themeColor="text1"/>
                <w:spacing w:val="3"/>
                <w:sz w:val="28"/>
                <w:szCs w:val="28"/>
                <w14:textFill>
                  <w14:solidFill>
                    <w14:schemeClr w14:val="tx1"/>
                  </w14:solidFill>
                </w14:textFill>
              </w:rPr>
              <w:t xml:space="preserve"> </w:t>
            </w:r>
            <w:r>
              <w:rPr>
                <w:rFonts w:ascii="黑体" w:hAnsi="黑体" w:eastAsia="黑体" w:cs="黑体"/>
                <w:color w:val="000000" w:themeColor="text1"/>
                <w:sz w:val="28"/>
                <w:szCs w:val="28"/>
                <w14:textFill>
                  <w14:solidFill>
                    <w14:schemeClr w14:val="tx1"/>
                  </w14:solidFill>
                </w14:textFill>
              </w:rPr>
              <w:t>湖生态补偿示范区升级建设，开展流域水环境保护、水生态恢复工程。</w:t>
            </w:r>
            <w:r>
              <w:rPr>
                <w:rFonts w:ascii="黑体" w:hAnsi="黑体" w:eastAsia="黑体" w:cs="黑体"/>
                <w:color w:val="000000" w:themeColor="text1"/>
                <w:spacing w:val="20"/>
                <w:sz w:val="28"/>
                <w:szCs w:val="28"/>
                <w14:textFill>
                  <w14:solidFill>
                    <w14:schemeClr w14:val="tx1"/>
                  </w14:solidFill>
                </w14:textFill>
              </w:rPr>
              <w:t xml:space="preserve"> </w:t>
            </w:r>
            <w:r>
              <w:rPr>
                <w:rFonts w:ascii="黑体" w:hAnsi="黑体" w:eastAsia="黑体" w:cs="黑体"/>
                <w:color w:val="000000" w:themeColor="text1"/>
                <w:spacing w:val="-6"/>
                <w:sz w:val="28"/>
                <w:szCs w:val="28"/>
                <w14:textFill>
                  <w14:solidFill>
                    <w14:schemeClr w14:val="tx1"/>
                  </w14:solidFill>
                </w14:textFill>
              </w:rPr>
              <w:t>实施黄山市农村环境基础设施建设及面源污染控制、氮磷养分生态拦截、</w:t>
            </w:r>
            <w:r>
              <w:rPr>
                <w:rFonts w:ascii="黑体" w:hAnsi="黑体" w:eastAsia="黑体" w:cs="黑体"/>
                <w:color w:val="000000" w:themeColor="text1"/>
                <w:spacing w:val="7"/>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水土保持和生态修复工程。</w:t>
            </w:r>
          </w:p>
          <w:p>
            <w:pPr>
              <w:pageBreakBefore w:val="0"/>
              <w:widowControl/>
              <w:kinsoku w:val="0"/>
              <w:wordWrap/>
              <w:overflowPunct/>
              <w:topLinePunct w:val="0"/>
              <w:autoSpaceDE w:val="0"/>
              <w:autoSpaceDN w:val="0"/>
              <w:bidi w:val="0"/>
              <w:adjustRightInd w:val="0"/>
              <w:snapToGrid w:val="0"/>
              <w:spacing w:before="193" w:line="266" w:lineRule="auto"/>
              <w:ind w:left="119" w:right="102" w:firstLine="489"/>
              <w:rPr>
                <w:rFonts w:ascii="黑体" w:hAnsi="黑体" w:eastAsia="黑体" w:cs="黑体"/>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pacing w:val="2"/>
                <w:sz w:val="28"/>
                <w:szCs w:val="28"/>
                <w14:textFill>
                  <w14:solidFill>
                    <w14:schemeClr w14:val="tx1"/>
                  </w14:solidFill>
                </w14:textFill>
              </w:rPr>
              <w:t>“</w:t>
            </w:r>
            <w:r>
              <w:rPr>
                <w:rFonts w:ascii="黑体" w:hAnsi="黑体" w:eastAsia="黑体" w:cs="黑体"/>
                <w:color w:val="000000" w:themeColor="text1"/>
                <w:spacing w:val="2"/>
                <w:sz w:val="28"/>
                <w:szCs w:val="28"/>
                <w14:textOutline w14:w="5103" w14:cap="sq" w14:cmpd="sng">
                  <w14:solidFill>
                    <w14:srgbClr w14:val="000000"/>
                  </w14:solidFill>
                  <w14:prstDash w14:val="solid"/>
                  <w14:bevel/>
                </w14:textOutline>
                <w14:textFill>
                  <w14:solidFill>
                    <w14:schemeClr w14:val="tx1"/>
                  </w14:solidFill>
                </w14:textFill>
              </w:rPr>
              <w:t>一地六县</w:t>
            </w:r>
            <w:r>
              <w:rPr>
                <w:rFonts w:ascii="Times New Roman" w:hAnsi="Times New Roman" w:eastAsia="Times New Roman" w:cs="Times New Roman"/>
                <w:b/>
                <w:bCs/>
                <w:color w:val="000000" w:themeColor="text1"/>
                <w:spacing w:val="2"/>
                <w:sz w:val="28"/>
                <w:szCs w:val="28"/>
                <w14:textFill>
                  <w14:solidFill>
                    <w14:schemeClr w14:val="tx1"/>
                  </w14:solidFill>
                </w14:textFill>
              </w:rPr>
              <w:t>”</w:t>
            </w:r>
            <w:r>
              <w:rPr>
                <w:rFonts w:ascii="黑体" w:hAnsi="黑体" w:eastAsia="黑体" w:cs="黑体"/>
                <w:color w:val="000000" w:themeColor="text1"/>
                <w:spacing w:val="2"/>
                <w:sz w:val="28"/>
                <w:szCs w:val="28"/>
                <w14:textOutline w14:w="5103" w14:cap="sq" w14:cmpd="sng">
                  <w14:solidFill>
                    <w14:srgbClr w14:val="000000"/>
                  </w14:solidFill>
                  <w14:prstDash w14:val="solid"/>
                  <w14:bevel/>
                </w14:textOutline>
                <w14:textFill>
                  <w14:solidFill>
                    <w14:schemeClr w14:val="tx1"/>
                  </w14:solidFill>
                </w14:textFill>
              </w:rPr>
              <w:t>长三角生态优先绿色发展产业集中合作区建设工程。</w:t>
            </w:r>
            <w:r>
              <w:rPr>
                <w:rFonts w:ascii="黑体" w:hAnsi="黑体" w:eastAsia="黑体" w:cs="黑体"/>
                <w:color w:val="000000" w:themeColor="text1"/>
                <w:spacing w:val="2"/>
                <w:sz w:val="28"/>
                <w:szCs w:val="28"/>
                <w14:textFill>
                  <w14:solidFill>
                    <w14:schemeClr w14:val="tx1"/>
                  </w14:solidFill>
                </w14:textFill>
              </w:rPr>
              <w:t>对</w:t>
            </w:r>
            <w:r>
              <w:rPr>
                <w:rFonts w:ascii="黑体" w:hAnsi="黑体" w:eastAsia="黑体" w:cs="黑体"/>
                <w:color w:val="000000" w:themeColor="text1"/>
                <w:spacing w:val="10"/>
                <w:sz w:val="28"/>
                <w:szCs w:val="28"/>
                <w14:textFill>
                  <w14:solidFill>
                    <w14:schemeClr w14:val="tx1"/>
                  </w14:solidFill>
                </w14:textFill>
              </w:rPr>
              <w:t xml:space="preserve"> </w:t>
            </w:r>
            <w:r>
              <w:rPr>
                <w:rFonts w:ascii="黑体" w:hAnsi="黑体" w:eastAsia="黑体" w:cs="黑体"/>
                <w:color w:val="000000" w:themeColor="text1"/>
                <w:spacing w:val="-1"/>
                <w:sz w:val="28"/>
                <w:szCs w:val="28"/>
                <w14:textFill>
                  <w14:solidFill>
                    <w14:schemeClr w14:val="tx1"/>
                  </w14:solidFill>
                </w14:textFill>
              </w:rPr>
              <w:t>标长三角生态绿色一体化发展示范区，实施一批生态环保建设工程。</w:t>
            </w:r>
          </w:p>
        </w:tc>
      </w:tr>
    </w:tbl>
    <w:p>
      <w:pPr>
        <w:bidi w:val="0"/>
        <w:rPr>
          <w:color w:val="000000" w:themeColor="text1"/>
          <w14:textFill>
            <w14:solidFill>
              <w14:schemeClr w14:val="tx1"/>
            </w14:solidFill>
          </w14:textFill>
        </w:rPr>
      </w:pPr>
      <w:bookmarkStart w:id="26" w:name="_Toc16402"/>
    </w:p>
    <w:p>
      <w:pPr>
        <w:pStyle w:val="2"/>
        <w:keepNext/>
        <w:keepLines/>
        <w:pageBreakBefore w:val="0"/>
        <w:widowControl/>
        <w:kinsoku w:val="0"/>
        <w:wordWrap/>
        <w:overflowPunct/>
        <w:topLinePunct w:val="0"/>
        <w:autoSpaceDE w:val="0"/>
        <w:autoSpaceDN w:val="0"/>
        <w:bidi w:val="0"/>
        <w:adjustRightInd w:val="0"/>
        <w:snapToGrid w:val="0"/>
        <w:spacing w:before="0" w:after="0" w:line="360" w:lineRule="auto"/>
        <w:textAlignment w:val="baseline"/>
        <w:rPr>
          <w:rFonts w:hint="eastAsia" w:ascii="宋体" w:hAnsi="宋体" w:eastAsia="宋体" w:cs="宋体"/>
          <w:b/>
          <w:color w:val="000000" w:themeColor="text1"/>
          <w:sz w:val="28"/>
          <w:szCs w:val="28"/>
          <w14:textFill>
            <w14:solidFill>
              <w14:schemeClr w14:val="tx1"/>
            </w14:solidFill>
          </w14:textFill>
        </w:rPr>
      </w:pPr>
      <w:r>
        <w:rPr>
          <w:rFonts w:ascii="黑体" w:hAnsi="黑体" w:eastAsia="黑体" w:cs="黑体"/>
          <w:color w:val="000000" w:themeColor="text1"/>
          <w:spacing w:val="-1"/>
          <w:sz w:val="28"/>
          <w:szCs w:val="28"/>
          <w14:textFill>
            <w14:solidFill>
              <w14:schemeClr w14:val="tx1"/>
            </w14:solidFill>
          </w14:textFill>
        </w:rPr>
        <w:t>六、</w:t>
      </w:r>
      <w:r>
        <w:rPr>
          <w:rFonts w:hint="eastAsia" w:ascii="宋体" w:hAnsi="宋体" w:eastAsia="宋体" w:cs="宋体"/>
          <w:b/>
          <w:color w:val="000000" w:themeColor="text1"/>
          <w:sz w:val="28"/>
          <w:szCs w:val="28"/>
          <w14:textFill>
            <w14:solidFill>
              <w14:schemeClr w14:val="tx1"/>
            </w14:solidFill>
          </w14:textFill>
        </w:rPr>
        <w:t>加快推进生态环境治理体系与治理能力现代化</w:t>
      </w:r>
      <w:bookmarkEnd w:id="26"/>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坚持全面深化改革，推进制度创新引领，完善环境治理 法规标准，健全绿色发展激励机制，充分调动社会资本力量，优化环境治理监管服务机制，系统提升生态环境治理能力，积极构建政府有为、企业有责、市场有效、社会有序的生态 环境保护新格局。</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46" w:firstLineChars="200"/>
        <w:textAlignment w:val="baseline"/>
        <w:rPr>
          <w:rFonts w:ascii="黑体" w:hAnsi="黑体" w:eastAsia="黑体" w:cs="黑体"/>
          <w:color w:val="000000" w:themeColor="text1"/>
          <w:sz w:val="28"/>
          <w:szCs w:val="28"/>
          <w14:textFill>
            <w14:solidFill>
              <w14:schemeClr w14:val="tx1"/>
            </w14:solidFill>
          </w14:textFill>
        </w:rPr>
      </w:pPr>
      <w:bookmarkStart w:id="27" w:name="_Toc3920"/>
      <w:r>
        <w:rPr>
          <w:rFonts w:ascii="黑体" w:hAnsi="黑体" w:eastAsia="黑体" w:cs="黑体"/>
          <w:color w:val="000000" w:themeColor="text1"/>
          <w:spacing w:val="-4"/>
          <w:sz w:val="28"/>
          <w:szCs w:val="28"/>
          <w14:textFill>
            <w14:solidFill>
              <w14:schemeClr w14:val="tx1"/>
            </w14:solidFill>
          </w14:textFill>
        </w:rPr>
        <w:t>（</w:t>
      </w:r>
      <w:r>
        <w:rPr>
          <w:rFonts w:ascii="黑体" w:hAnsi="黑体" w:eastAsia="黑体" w:cs="黑体"/>
          <w:color w:val="000000" w:themeColor="text1"/>
          <w:spacing w:val="-87"/>
          <w:sz w:val="28"/>
          <w:szCs w:val="28"/>
          <w14:textFill>
            <w14:solidFill>
              <w14:schemeClr w14:val="tx1"/>
            </w14:solidFill>
          </w14:textFill>
        </w:rPr>
        <w:t xml:space="preserve"> </w:t>
      </w:r>
      <w:r>
        <w:rPr>
          <w:rFonts w:ascii="黑体" w:hAnsi="黑体" w:eastAsia="黑体" w:cs="黑体"/>
          <w:color w:val="000000" w:themeColor="text1"/>
          <w:spacing w:val="-4"/>
          <w:sz w:val="28"/>
          <w:szCs w:val="28"/>
          <w14:textFill>
            <w14:solidFill>
              <w14:schemeClr w14:val="tx1"/>
            </w14:solidFill>
          </w14:textFill>
        </w:rPr>
        <w:t>一）严格落实环境治理主体责任</w:t>
      </w:r>
      <w:bookmarkEnd w:id="27"/>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坚持党政同责、一 岗双责，严格落实“管发展、管生产、 管行业必须管环保”责任，健全财政保障和考核引导体系，深 入实施领导干部自然资源资产离任审计、生态环境损害责任 终身追究、生态环境状况报告制度，全面实施省直有关部门 生态环境保护责任清单。推深做实河（ 湖） 长制、田长制， 深化新一轮林长制改革，按照“先试点、后规范、再推广”思 路，探索实施生态环境保护专项监督长制度。健全生态环境 保护督察体制，落实《安徽省生态环境保护督察工作实施办 法》，落实生态环境突出问题领导包保、部门包保、“点对点、 长对长”整改责任制，完善核查考核、验收销号、责任调查等 制度。</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全面开展对标沪苏浙“学创新、谋创新、抓创新”工作机 制。推进环境信息依法披露制度改革，完善企业环保信用评 价制度。严格落实企业污染治理和生态修复责任，积极推行 铅蓄电池等产品生产者责任延伸制度。督促排污企业加大工 艺技术和环境治理设施升级改造投入，重点排污单位安装使 用在线监测设备。全面落实排污许可制，建立企业承诺、 自 行监测、台账记录、执行报告、信息公开等制度，进一步落 实持证排污单位污染治理主体责任。健全公众监督、举报反 馈、环保设施公众开放等机制，鼓励和引导环保社会组织和公众参与环境污染监督治理 ，探索建立新闻媒体与环保督 察、执法、排查、暗访联动模式。通过开展环保知识竞赛、志愿者环保公益行动等，动员各方力量参与环境治理。</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46" w:firstLineChars="200"/>
        <w:textAlignment w:val="baseline"/>
        <w:rPr>
          <w:rFonts w:ascii="黑体" w:hAnsi="黑体" w:eastAsia="黑体" w:cs="黑体"/>
          <w:color w:val="000000" w:themeColor="text1"/>
          <w:sz w:val="28"/>
          <w:szCs w:val="28"/>
          <w14:textFill>
            <w14:solidFill>
              <w14:schemeClr w14:val="tx1"/>
            </w14:solidFill>
          </w14:textFill>
        </w:rPr>
      </w:pPr>
      <w:bookmarkStart w:id="28" w:name="_Toc31404"/>
      <w:r>
        <w:rPr>
          <w:rFonts w:ascii="黑体" w:hAnsi="黑体" w:eastAsia="黑体" w:cs="黑体"/>
          <w:color w:val="000000" w:themeColor="text1"/>
          <w:spacing w:val="-4"/>
          <w:sz w:val="28"/>
          <w:szCs w:val="28"/>
          <w14:textFill>
            <w14:solidFill>
              <w14:schemeClr w14:val="tx1"/>
            </w14:solidFill>
          </w14:textFill>
        </w:rPr>
        <w:t>（</w:t>
      </w:r>
      <w:r>
        <w:rPr>
          <w:rFonts w:ascii="黑体" w:hAnsi="黑体" w:eastAsia="黑体" w:cs="黑体"/>
          <w:color w:val="000000" w:themeColor="text1"/>
          <w:spacing w:val="-79"/>
          <w:sz w:val="28"/>
          <w:szCs w:val="28"/>
          <w14:textFill>
            <w14:solidFill>
              <w14:schemeClr w14:val="tx1"/>
            </w14:solidFill>
          </w14:textFill>
        </w:rPr>
        <w:t xml:space="preserve"> </w:t>
      </w:r>
      <w:r>
        <w:rPr>
          <w:rFonts w:ascii="黑体" w:hAnsi="黑体" w:eastAsia="黑体" w:cs="黑体"/>
          <w:color w:val="000000" w:themeColor="text1"/>
          <w:spacing w:val="-4"/>
          <w:sz w:val="28"/>
          <w:szCs w:val="28"/>
          <w14:textFill>
            <w14:solidFill>
              <w14:schemeClr w14:val="tx1"/>
            </w14:solidFill>
          </w14:textFill>
        </w:rPr>
        <w:t>二）推动完善环境治理法规政策体系</w:t>
      </w:r>
      <w:bookmarkEnd w:id="28"/>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修订出台固体废物污染环境防治法实施办法，推动土壤 污染防治等地方性法规制定。鼓励各市围绕生态环境保护与 治理积极开展立法探索。及时清理与上位法不一致、不符合 改革要求的地方性法规规章。推进环境司法联动，完善环境 公益诉讼制度与行政处罚、刑事司法及生态环境损害赔偿等 制度进行有效衔接。持续深化“放管服”改革，逐步扩大“区域 环评+环境标准”覆盖面。组建省生态环境保护标准化技术委 员会。大力推动生态环境标准制定、修订工作，加快玻璃工 业大气污染物排放标准、半导体工业水污染物排放标准等地</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方标准制定； 推进挥发性有机物（VOCs ）污染防治、农村 生活污水处理、餐饮业油烟污染控制等技术规范编制； 开展 生态环境地方标准实施后评估工作。加快建立科学的流域上 下游生态补偿、污染赔偿标准和水质考核体系，深化实施空 气质量生态补偿，建立完善湿地、森林生态系统等领域生态 补偿制度。</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46" w:firstLineChars="200"/>
        <w:textAlignment w:val="baseline"/>
        <w:rPr>
          <w:rFonts w:ascii="黑体" w:hAnsi="黑体" w:eastAsia="黑体" w:cs="黑体"/>
          <w:color w:val="000000" w:themeColor="text1"/>
          <w:sz w:val="28"/>
          <w:szCs w:val="28"/>
          <w14:textFill>
            <w14:solidFill>
              <w14:schemeClr w14:val="tx1"/>
            </w14:solidFill>
          </w14:textFill>
        </w:rPr>
      </w:pPr>
      <w:bookmarkStart w:id="29" w:name="_Toc14083"/>
      <w:r>
        <w:rPr>
          <w:rFonts w:ascii="黑体" w:hAnsi="黑体" w:eastAsia="黑体" w:cs="黑体"/>
          <w:color w:val="000000" w:themeColor="text1"/>
          <w:spacing w:val="-4"/>
          <w:sz w:val="28"/>
          <w:szCs w:val="28"/>
          <w14:textFill>
            <w14:solidFill>
              <w14:schemeClr w14:val="tx1"/>
            </w14:solidFill>
          </w14:textFill>
        </w:rPr>
        <w:t>（</w:t>
      </w:r>
      <w:r>
        <w:rPr>
          <w:rFonts w:ascii="黑体" w:hAnsi="黑体" w:eastAsia="黑体" w:cs="黑体"/>
          <w:color w:val="000000" w:themeColor="text1"/>
          <w:spacing w:val="-79"/>
          <w:sz w:val="28"/>
          <w:szCs w:val="28"/>
          <w14:textFill>
            <w14:solidFill>
              <w14:schemeClr w14:val="tx1"/>
            </w14:solidFill>
          </w14:textFill>
        </w:rPr>
        <w:t xml:space="preserve"> </w:t>
      </w:r>
      <w:r>
        <w:rPr>
          <w:rFonts w:ascii="黑体" w:hAnsi="黑体" w:eastAsia="黑体" w:cs="黑体"/>
          <w:color w:val="000000" w:themeColor="text1"/>
          <w:spacing w:val="-4"/>
          <w:sz w:val="28"/>
          <w:szCs w:val="28"/>
          <w14:textFill>
            <w14:solidFill>
              <w14:schemeClr w14:val="tx1"/>
            </w14:solidFill>
          </w14:textFill>
        </w:rPr>
        <w:t>三）全面增强生态环境监管监测能力</w:t>
      </w:r>
      <w:bookmarkEnd w:id="29"/>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持续完善水陆统筹、天地一体、上下协同、信息共享的 生态环境智慧监测体系。构建以自动监测为主的大气环境立 体综合监测体系，加快省级以上开发区和乡镇（街道） 环境空气自动监测站建设，加强 O3 和 PM2.5 协同控制监测，提升 颗粒物化学组分、光化学污染、区域大气污染传输和大气遥 感监测监控能力，实现设区市挥发性有机物（VOCs ）和声 环境功能区自动监测全覆盖。构建以自动监测为主、手工监 测为辅的“9+X”地表水水质监测与评价体系，实现县级及以 上集中式地表水饮用水水源地水质自动监测全覆盖； 地下水 环境质量监测网络初步建成运行，统筹优化土壤环境监测网 络； 生态质量监测网络初步建成运行，完善重点湖泊藻类预 警监测网络 ，探索建立全省水生态质量监测网络和评价体 系。健全污染源监测体系，建立一体化的移动源监控网络和 技术评估体系，构建入河排污 口和重点工业园区监测体系， 探索开展农业面源污染综合监测试点。完善生态环境监测数 据采集、传输、审核机制，实现数据资源统一管理和发布，提升数据全面高效感知和深度挖掘应用能力。完善“三五”人 才、技术比武等监测人才培养遴选长效机制，提升生态环境 监测队伍装备和技术保障水平，设立 6 个区域监测中心，统 筹调度全省重点监测任务和跨流域、跨区域监测工作，完善 区域联动应急响应。推进区县级监测机构形成有效执法监测 能力。建立健全生态环境监测质量管理、量值溯源和质量监 督体系，试点开展自动监测站电子围栏体系建设。规范和培 育社会化环境监测市场，开展监测质量监督检查专项行动， 确保监测数据“真、准、全”。</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提升生态环境保护综合行政执法能力，优化配置环境执法力量，加强市、县级环境执法队伍建设，实现重心下移， 推动乡镇（街道）环保工作站建设，加强现场执法取证能力， 完善网格化监督执法格局。完善环境污染问题发现、风险预 警和应急处置机制，健全生态环境突出问题全过程闭环管理 长效机制。强化自动监控、卫星遥感、无人机、便携快速检 测等技术监控手段运用，提高执法科技化水平。探索借助社 会第三方专业力量辅助执法，建立专业和执法相结合的协同 执法机制，提高执法专业化水平。动态调整权责清单，严格 落实“双随机、一公开”环境监管制度。</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46" w:firstLineChars="200"/>
        <w:textAlignment w:val="baseline"/>
        <w:rPr>
          <w:rFonts w:ascii="黑体" w:hAnsi="黑体" w:eastAsia="黑体" w:cs="黑体"/>
          <w:color w:val="000000" w:themeColor="text1"/>
          <w:sz w:val="28"/>
          <w:szCs w:val="28"/>
          <w14:textFill>
            <w14:solidFill>
              <w14:schemeClr w14:val="tx1"/>
            </w14:solidFill>
          </w14:textFill>
        </w:rPr>
      </w:pPr>
      <w:bookmarkStart w:id="30" w:name="_Toc10666"/>
      <w:r>
        <w:rPr>
          <w:rFonts w:ascii="黑体" w:hAnsi="黑体" w:eastAsia="黑体" w:cs="黑体"/>
          <w:color w:val="000000" w:themeColor="text1"/>
          <w:spacing w:val="-4"/>
          <w:sz w:val="28"/>
          <w:szCs w:val="28"/>
          <w14:textFill>
            <w14:solidFill>
              <w14:schemeClr w14:val="tx1"/>
            </w14:solidFill>
          </w14:textFill>
        </w:rPr>
        <w:t>（</w:t>
      </w:r>
      <w:r>
        <w:rPr>
          <w:rFonts w:ascii="黑体" w:hAnsi="黑体" w:eastAsia="黑体" w:cs="黑体"/>
          <w:color w:val="000000" w:themeColor="text1"/>
          <w:spacing w:val="-83"/>
          <w:sz w:val="28"/>
          <w:szCs w:val="28"/>
          <w14:textFill>
            <w14:solidFill>
              <w14:schemeClr w14:val="tx1"/>
            </w14:solidFill>
          </w14:textFill>
        </w:rPr>
        <w:t xml:space="preserve"> </w:t>
      </w:r>
      <w:r>
        <w:rPr>
          <w:rFonts w:ascii="黑体" w:hAnsi="黑体" w:eastAsia="黑体" w:cs="黑体"/>
          <w:color w:val="000000" w:themeColor="text1"/>
          <w:spacing w:val="-4"/>
          <w:sz w:val="28"/>
          <w:szCs w:val="28"/>
          <w14:textFill>
            <w14:solidFill>
              <w14:schemeClr w14:val="tx1"/>
            </w14:solidFill>
          </w14:textFill>
        </w:rPr>
        <w:t>四）有效提升智慧环保信息化水平</w:t>
      </w:r>
      <w:bookmarkEnd w:id="30"/>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充分利用新一代信息技术、工业互联网思维与平台，促 进大数据智能算法和业务模型研发与生态环境管理融合创 新，大力发展智慧环保，推进远程智慧监管能力建设。加快 省生态环境大数据中心与“数字江淮”对接，积极推动与国土 空间基础信息平台衔接，探索实施数据成果相互叠加。全力 打造覆盖生态环境全业务的“数字江淮—智慧环保（2.0 ）”综 合平台，提供生态环境信息数据资源采集、汇聚、加工处理、 存储、治理、共享和交换等功能，实现对基础支撑模型、专 业模型、大数据模型统一管理。深入推进系统整合与业务协 同创新，着力构建生态环境质量、生态环境监管、科学研判 决策、综合办公等“大系统” ，提升精细化服务感知、精准化 风险识别、网络化行动协助的现代化生态环境治理能力，探 索实施“ 一图全面感知”的“生态环境电子沙盘” 。促进与省政务服务平台对接，全面推广线上线下融合的生态环境互联网 +政务服务模式。</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46" w:firstLineChars="200"/>
        <w:textAlignment w:val="baseline"/>
        <w:rPr>
          <w:rFonts w:ascii="黑体" w:hAnsi="黑体" w:eastAsia="黑体" w:cs="黑体"/>
          <w:color w:val="000000" w:themeColor="text1"/>
          <w:sz w:val="28"/>
          <w:szCs w:val="28"/>
          <w14:textFill>
            <w14:solidFill>
              <w14:schemeClr w14:val="tx1"/>
            </w14:solidFill>
          </w14:textFill>
        </w:rPr>
      </w:pPr>
      <w:bookmarkStart w:id="31" w:name="_Toc12769"/>
      <w:r>
        <w:rPr>
          <w:rFonts w:ascii="黑体" w:hAnsi="黑体" w:eastAsia="黑体" w:cs="黑体"/>
          <w:color w:val="000000" w:themeColor="text1"/>
          <w:spacing w:val="-4"/>
          <w:sz w:val="28"/>
          <w:szCs w:val="28"/>
          <w14:textFill>
            <w14:solidFill>
              <w14:schemeClr w14:val="tx1"/>
            </w14:solidFill>
          </w14:textFill>
        </w:rPr>
        <w:t>（</w:t>
      </w:r>
      <w:r>
        <w:rPr>
          <w:rFonts w:ascii="黑体" w:hAnsi="黑体" w:eastAsia="黑体" w:cs="黑体"/>
          <w:color w:val="000000" w:themeColor="text1"/>
          <w:spacing w:val="-87"/>
          <w:sz w:val="28"/>
          <w:szCs w:val="28"/>
          <w14:textFill>
            <w14:solidFill>
              <w14:schemeClr w14:val="tx1"/>
            </w14:solidFill>
          </w14:textFill>
        </w:rPr>
        <w:t xml:space="preserve"> </w:t>
      </w:r>
      <w:r>
        <w:rPr>
          <w:rFonts w:ascii="黑体" w:hAnsi="黑体" w:eastAsia="黑体" w:cs="黑体"/>
          <w:color w:val="000000" w:themeColor="text1"/>
          <w:spacing w:val="-4"/>
          <w:sz w:val="28"/>
          <w:szCs w:val="28"/>
          <w14:textFill>
            <w14:solidFill>
              <w14:schemeClr w14:val="tx1"/>
            </w14:solidFill>
          </w14:textFill>
        </w:rPr>
        <w:t>五）充分发挥市场机制激励作用</w:t>
      </w:r>
      <w:bookmarkEnd w:id="31"/>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探索建立全省“绿色项目清单” ，引导金融资本优先支持 节能环保产业、清洁能源产业、清洁生产产业。推进用能权、 排污权、碳排放权交易。鼓励金融机构以特许经营权质押、 林地经营权抵押、林地预期收益、公益林和天然林收益权质 押、合同能源管理项目未来收益权质押等方式，开展能效融 资、碳排放权融资、排污权融资等信贷业务，推进林业碳汇 项目开发与交易。支持符合条件的企业发行绿色债券、绿色 票据、碳中和债等融资工具。引导污水水务、环保清洁、绿 色生态等领域的投资项目发行基础设施证券投资基金，积极 推动符合条件的绿色企业在多层次资本市场上市挂牌。</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落实生态环境保护领域各项税收优惠政策，严格执行重 点耗能行业差别电价，有序推进城镇非居民用水超定额累进 加价制度。积极运用资本力量，引导各类资本参与环境治理 投资、建设、运行，制定制度防止恶性竞争和恶意低价中标， 确保环境治理市场公开透明、规范有序。鼓励推行“环境修复 +开发建设”“生态修复+文旅+农林”等生态修复模式，创新开 展环境污染第三方治理试点，支持淮北等地利用市场化方式 推动矿山生态修复。试点实施生态环境导向的开发（EOD ） 模式项 目，探索形成可复制、可推广的生态环境、生态产业、 金融支持组合型项目运营模式。积极推广“智慧环保+环保管家”环境监管模式，推动建立面向中小企业线上线下结合的环 保综合服务平台。</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p>
    <w:p>
      <w:pPr>
        <w:pageBreakBefore w:val="0"/>
        <w:widowControl/>
        <w:kinsoku w:val="0"/>
        <w:wordWrap/>
        <w:overflowPunct/>
        <w:topLinePunct w:val="0"/>
        <w:autoSpaceDE w:val="0"/>
        <w:autoSpaceDN w:val="0"/>
        <w:bidi w:val="0"/>
        <w:adjustRightInd w:val="0"/>
        <w:snapToGrid w:val="0"/>
        <w:spacing w:line="43" w:lineRule="exact"/>
        <w:rPr>
          <w:color w:val="000000" w:themeColor="text1"/>
          <w:sz w:val="28"/>
          <w:szCs w:val="28"/>
          <w14:textFill>
            <w14:solidFill>
              <w14:schemeClr w14:val="tx1"/>
            </w14:solidFill>
          </w14:textFill>
        </w:rPr>
      </w:pPr>
    </w:p>
    <w:tbl>
      <w:tblPr>
        <w:tblStyle w:val="8"/>
        <w:tblW w:w="88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8849" w:type="dxa"/>
            <w:vAlign w:val="top"/>
          </w:tcPr>
          <w:p>
            <w:pPr>
              <w:pageBreakBefore w:val="0"/>
              <w:widowControl/>
              <w:kinsoku w:val="0"/>
              <w:wordWrap/>
              <w:overflowPunct/>
              <w:topLinePunct w:val="0"/>
              <w:autoSpaceDE w:val="0"/>
              <w:autoSpaceDN w:val="0"/>
              <w:bidi w:val="0"/>
              <w:adjustRightInd w:val="0"/>
              <w:snapToGrid w:val="0"/>
              <w:spacing w:before="152" w:line="206" w:lineRule="auto"/>
              <w:ind w:firstLine="2302"/>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3"/>
                <w:sz w:val="28"/>
                <w:szCs w:val="28"/>
                <w14:textFill>
                  <w14:solidFill>
                    <w14:schemeClr w14:val="tx1"/>
                  </w14:solidFill>
                </w14:textFill>
              </w:rPr>
              <w:t>专栏</w:t>
            </w:r>
            <w:r>
              <w:rPr>
                <w:rFonts w:ascii="黑体" w:hAnsi="黑体" w:eastAsia="黑体" w:cs="黑体"/>
                <w:color w:val="000000" w:themeColor="text1"/>
                <w:spacing w:val="-52"/>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3"/>
                <w:sz w:val="28"/>
                <w:szCs w:val="28"/>
                <w14:textFill>
                  <w14:solidFill>
                    <w14:schemeClr w14:val="tx1"/>
                  </w14:solidFill>
                </w14:textFill>
              </w:rPr>
              <w:t>7</w:t>
            </w:r>
            <w:r>
              <w:rPr>
                <w:rFonts w:ascii="Times New Roman" w:hAnsi="Times New Roman" w:eastAsia="Times New Roman" w:cs="Times New Roman"/>
                <w:color w:val="000000" w:themeColor="text1"/>
                <w:spacing w:val="10"/>
                <w:sz w:val="28"/>
                <w:szCs w:val="28"/>
                <w14:textFill>
                  <w14:solidFill>
                    <w14:schemeClr w14:val="tx1"/>
                  </w14:solidFill>
                </w14:textFill>
              </w:rPr>
              <w:t xml:space="preserve">  </w:t>
            </w:r>
            <w:r>
              <w:rPr>
                <w:rFonts w:ascii="黑体" w:hAnsi="黑体" w:eastAsia="黑体" w:cs="黑体"/>
                <w:color w:val="000000" w:themeColor="text1"/>
                <w:spacing w:val="-3"/>
                <w:sz w:val="28"/>
                <w:szCs w:val="28"/>
                <w14:textFill>
                  <w14:solidFill>
                    <w14:schemeClr w14:val="tx1"/>
                  </w14:solidFill>
                </w14:textFill>
              </w:rPr>
              <w:t>生态环境治理能力提升重大工程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45" w:hRule="atLeast"/>
        </w:trPr>
        <w:tc>
          <w:tcPr>
            <w:tcW w:w="8849" w:type="dxa"/>
            <w:vAlign w:val="top"/>
          </w:tcPr>
          <w:p>
            <w:pPr>
              <w:pageBreakBefore w:val="0"/>
              <w:widowControl/>
              <w:kinsoku w:val="0"/>
              <w:wordWrap/>
              <w:overflowPunct/>
              <w:topLinePunct w:val="0"/>
              <w:autoSpaceDE w:val="0"/>
              <w:autoSpaceDN w:val="0"/>
              <w:bidi w:val="0"/>
              <w:adjustRightInd w:val="0"/>
              <w:snapToGrid w:val="0"/>
              <w:spacing w:before="128" w:line="293" w:lineRule="auto"/>
              <w:ind w:left="113" w:firstLine="567"/>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3"/>
                <w:sz w:val="28"/>
                <w:szCs w:val="28"/>
                <w14:textOutline w14:w="5098" w14:cap="sq" w14:cmpd="sng">
                  <w14:solidFill>
                    <w14:srgbClr w14:val="000000"/>
                  </w14:solidFill>
                  <w14:prstDash w14:val="solid"/>
                  <w14:bevel/>
                </w14:textOutline>
                <w14:textFill>
                  <w14:solidFill>
                    <w14:schemeClr w14:val="tx1"/>
                  </w14:solidFill>
                </w14:textFill>
              </w:rPr>
              <w:t>生态环境监测能力建设工程。</w:t>
            </w:r>
            <w:r>
              <w:rPr>
                <w:rFonts w:ascii="黑体" w:hAnsi="黑体" w:eastAsia="黑体" w:cs="黑体"/>
                <w:color w:val="000000" w:themeColor="text1"/>
                <w:spacing w:val="-3"/>
                <w:sz w:val="28"/>
                <w:szCs w:val="28"/>
                <w14:textFill>
                  <w14:solidFill>
                    <w14:schemeClr w14:val="tx1"/>
                  </w14:solidFill>
                </w14:textFill>
              </w:rPr>
              <w:t>实施移动污染源排气和生态遥感监测</w:t>
            </w:r>
            <w:r>
              <w:rPr>
                <w:rFonts w:ascii="黑体" w:hAnsi="黑体" w:eastAsia="黑体" w:cs="黑体"/>
                <w:color w:val="000000" w:themeColor="text1"/>
                <w:spacing w:val="15"/>
                <w:sz w:val="28"/>
                <w:szCs w:val="28"/>
                <w14:textFill>
                  <w14:solidFill>
                    <w14:schemeClr w14:val="tx1"/>
                  </w14:solidFill>
                </w14:textFill>
              </w:rPr>
              <w:t xml:space="preserve"> </w:t>
            </w:r>
            <w:r>
              <w:rPr>
                <w:rFonts w:ascii="黑体" w:hAnsi="黑体" w:eastAsia="黑体" w:cs="黑体"/>
                <w:color w:val="000000" w:themeColor="text1"/>
                <w:spacing w:val="-26"/>
                <w:sz w:val="28"/>
                <w:szCs w:val="28"/>
                <w14:textFill>
                  <w14:solidFill>
                    <w14:schemeClr w14:val="tx1"/>
                  </w14:solidFill>
                </w14:textFill>
              </w:rPr>
              <w:t>能力提升工程，实施挥发性有机物（</w:t>
            </w:r>
            <w:r>
              <w:rPr>
                <w:rFonts w:ascii="黑体" w:hAnsi="黑体" w:eastAsia="黑体" w:cs="黑体"/>
                <w:color w:val="000000" w:themeColor="text1"/>
                <w:spacing w:val="-56"/>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26"/>
                <w:sz w:val="28"/>
                <w:szCs w:val="28"/>
                <w14:textFill>
                  <w14:solidFill>
                    <w14:schemeClr w14:val="tx1"/>
                  </w14:solidFill>
                </w14:textFill>
              </w:rPr>
              <w:t>VOCs</w:t>
            </w:r>
            <w:r>
              <w:rPr>
                <w:rFonts w:ascii="Times New Roman" w:hAnsi="Times New Roman" w:eastAsia="Times New Roman" w:cs="Times New Roman"/>
                <w:color w:val="000000" w:themeColor="text1"/>
                <w:spacing w:val="-24"/>
                <w:sz w:val="28"/>
                <w:szCs w:val="28"/>
                <w14:textFill>
                  <w14:solidFill>
                    <w14:schemeClr w14:val="tx1"/>
                  </w14:solidFill>
                </w14:textFill>
              </w:rPr>
              <w:t xml:space="preserve"> </w:t>
            </w:r>
            <w:r>
              <w:rPr>
                <w:rFonts w:ascii="黑体" w:hAnsi="黑体" w:eastAsia="黑体" w:cs="黑体"/>
                <w:color w:val="000000" w:themeColor="text1"/>
                <w:spacing w:val="-26"/>
                <w:sz w:val="28"/>
                <w:szCs w:val="28"/>
                <w14:textFill>
                  <w14:solidFill>
                    <w14:schemeClr w14:val="tx1"/>
                  </w14:solidFill>
                </w14:textFill>
              </w:rPr>
              <w:t>）、持久性有机污染物（</w:t>
            </w:r>
            <w:r>
              <w:rPr>
                <w:rFonts w:ascii="黑体" w:hAnsi="黑体" w:eastAsia="黑体" w:cs="黑体"/>
                <w:color w:val="000000" w:themeColor="text1"/>
                <w:spacing w:val="-66"/>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26"/>
                <w:sz w:val="28"/>
                <w:szCs w:val="28"/>
                <w14:textFill>
                  <w14:solidFill>
                    <w14:schemeClr w14:val="tx1"/>
                  </w14:solidFill>
                </w14:textFill>
              </w:rPr>
              <w:t>POPs</w:t>
            </w:r>
            <w:r>
              <w:rPr>
                <w:rFonts w:ascii="Times New Roman" w:hAnsi="Times New Roman" w:eastAsia="Times New Roman" w:cs="Times New Roman"/>
                <w:color w:val="000000" w:themeColor="text1"/>
                <w:spacing w:val="-24"/>
                <w:sz w:val="28"/>
                <w:szCs w:val="28"/>
                <w14:textFill>
                  <w14:solidFill>
                    <w14:schemeClr w14:val="tx1"/>
                  </w14:solidFill>
                </w14:textFill>
              </w:rPr>
              <w:t xml:space="preserve"> </w:t>
            </w:r>
            <w:r>
              <w:rPr>
                <w:rFonts w:ascii="黑体" w:hAnsi="黑体" w:eastAsia="黑体" w:cs="黑体"/>
                <w:color w:val="000000" w:themeColor="text1"/>
                <w:spacing w:val="-26"/>
                <w:sz w:val="28"/>
                <w:szCs w:val="28"/>
                <w14:textFill>
                  <w14:solidFill>
                    <w14:schemeClr w14:val="tx1"/>
                  </w14:solidFill>
                </w14:textFill>
              </w:rPr>
              <w:t>）、</w:t>
            </w:r>
            <w:r>
              <w:rPr>
                <w:rFonts w:ascii="黑体" w:hAnsi="黑体" w:eastAsia="黑体" w:cs="黑体"/>
                <w:color w:val="000000" w:themeColor="text1"/>
                <w:sz w:val="28"/>
                <w:szCs w:val="28"/>
                <w14:textFill>
                  <w14:solidFill>
                    <w14:schemeClr w14:val="tx1"/>
                  </w14:solidFill>
                </w14:textFill>
              </w:rPr>
              <w:t xml:space="preserve"> </w:t>
            </w:r>
            <w:r>
              <w:rPr>
                <w:rFonts w:ascii="黑体" w:hAnsi="黑体" w:eastAsia="黑体" w:cs="黑体"/>
                <w:color w:val="000000" w:themeColor="text1"/>
                <w:spacing w:val="-4"/>
                <w:sz w:val="28"/>
                <w:szCs w:val="28"/>
                <w14:textFill>
                  <w14:solidFill>
                    <w14:schemeClr w14:val="tx1"/>
                  </w14:solidFill>
                </w14:textFill>
              </w:rPr>
              <w:t>消耗臭氧层物质（</w:t>
            </w:r>
            <w:r>
              <w:rPr>
                <w:rFonts w:ascii="Times New Roman" w:hAnsi="Times New Roman" w:eastAsia="Times New Roman" w:cs="Times New Roman"/>
                <w:color w:val="000000" w:themeColor="text1"/>
                <w:spacing w:val="-4"/>
                <w:sz w:val="28"/>
                <w:szCs w:val="28"/>
                <w14:textFill>
                  <w14:solidFill>
                    <w14:schemeClr w14:val="tx1"/>
                  </w14:solidFill>
                </w14:textFill>
              </w:rPr>
              <w:t>ODS</w:t>
            </w:r>
            <w:r>
              <w:rPr>
                <w:rFonts w:ascii="Times New Roman" w:hAnsi="Times New Roman" w:eastAsia="Times New Roman" w:cs="Times New Roman"/>
                <w:color w:val="000000" w:themeColor="text1"/>
                <w:spacing w:val="-3"/>
                <w:sz w:val="28"/>
                <w:szCs w:val="28"/>
                <w14:textFill>
                  <w14:solidFill>
                    <w14:schemeClr w14:val="tx1"/>
                  </w14:solidFill>
                </w14:textFill>
              </w:rPr>
              <w:t xml:space="preserve"> </w:t>
            </w:r>
            <w:r>
              <w:rPr>
                <w:rFonts w:ascii="黑体" w:hAnsi="黑体" w:eastAsia="黑体" w:cs="黑体"/>
                <w:color w:val="000000" w:themeColor="text1"/>
                <w:spacing w:val="-4"/>
                <w:sz w:val="28"/>
                <w:szCs w:val="28"/>
                <w14:textFill>
                  <w14:solidFill>
                    <w14:schemeClr w14:val="tx1"/>
                  </w14:solidFill>
                </w14:textFill>
              </w:rPr>
              <w:t>）和水生生物等专项监测能力提升工程。实施应</w:t>
            </w:r>
            <w:r>
              <w:rPr>
                <w:rFonts w:ascii="黑体" w:hAnsi="黑体" w:eastAsia="黑体" w:cs="黑体"/>
                <w:color w:val="000000" w:themeColor="text1"/>
                <w:sz w:val="28"/>
                <w:szCs w:val="28"/>
                <w14:textFill>
                  <w14:solidFill>
                    <w14:schemeClr w14:val="tx1"/>
                  </w14:solidFill>
                </w14:textFill>
              </w:rPr>
              <w:t xml:space="preserve"> </w:t>
            </w:r>
            <w:r>
              <w:rPr>
                <w:rFonts w:ascii="黑体" w:hAnsi="黑体" w:eastAsia="黑体" w:cs="黑体"/>
                <w:color w:val="000000" w:themeColor="text1"/>
                <w:spacing w:val="-3"/>
                <w:sz w:val="28"/>
                <w:szCs w:val="28"/>
                <w14:textFill>
                  <w14:solidFill>
                    <w14:schemeClr w14:val="tx1"/>
                  </w14:solidFill>
                </w14:textFill>
              </w:rPr>
              <w:t>急监测人员队伍、应急监测装备提升工程，形成同时应对区域内两起突</w:t>
            </w:r>
            <w:r>
              <w:rPr>
                <w:rFonts w:ascii="黑体" w:hAnsi="黑体" w:eastAsia="黑体" w:cs="黑体"/>
                <w:color w:val="000000" w:themeColor="text1"/>
                <w:spacing w:val="29"/>
                <w:sz w:val="28"/>
                <w:szCs w:val="28"/>
                <w14:textFill>
                  <w14:solidFill>
                    <w14:schemeClr w14:val="tx1"/>
                  </w14:solidFill>
                </w14:textFill>
              </w:rPr>
              <w:t xml:space="preserve"> </w:t>
            </w:r>
            <w:r>
              <w:rPr>
                <w:rFonts w:ascii="黑体" w:hAnsi="黑体" w:eastAsia="黑体" w:cs="黑体"/>
                <w:color w:val="000000" w:themeColor="text1"/>
                <w:spacing w:val="-3"/>
                <w:sz w:val="28"/>
                <w:szCs w:val="28"/>
                <w14:textFill>
                  <w14:solidFill>
                    <w14:schemeClr w14:val="tx1"/>
                  </w14:solidFill>
                </w14:textFill>
              </w:rPr>
              <w:t>发环境事件保障能力。实施污染源废气、开发区环境空气污染物的快速</w:t>
            </w:r>
            <w:r>
              <w:rPr>
                <w:rFonts w:ascii="黑体" w:hAnsi="黑体" w:eastAsia="黑体" w:cs="黑体"/>
                <w:color w:val="000000" w:themeColor="text1"/>
                <w:spacing w:val="29"/>
                <w:sz w:val="28"/>
                <w:szCs w:val="28"/>
                <w14:textFill>
                  <w14:solidFill>
                    <w14:schemeClr w14:val="tx1"/>
                  </w14:solidFill>
                </w14:textFill>
              </w:rPr>
              <w:t xml:space="preserve"> </w:t>
            </w:r>
            <w:r>
              <w:rPr>
                <w:rFonts w:ascii="黑体" w:hAnsi="黑体" w:eastAsia="黑体" w:cs="黑体"/>
                <w:color w:val="000000" w:themeColor="text1"/>
                <w:spacing w:val="-3"/>
                <w:sz w:val="28"/>
                <w:szCs w:val="28"/>
                <w14:textFill>
                  <w14:solidFill>
                    <w14:schemeClr w14:val="tx1"/>
                  </w14:solidFill>
                </w14:textFill>
              </w:rPr>
              <w:t>筛查能力、环境空气预测预报业务能力提升工程，试点开展水质监测预</w:t>
            </w:r>
            <w:r>
              <w:rPr>
                <w:rFonts w:ascii="黑体" w:hAnsi="黑体" w:eastAsia="黑体" w:cs="黑体"/>
                <w:color w:val="000000" w:themeColor="text1"/>
                <w:spacing w:val="29"/>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警体系建设工程。实施环境空气和水质自动监测站的建设、运维和数据</w:t>
            </w:r>
            <w:r>
              <w:rPr>
                <w:rFonts w:ascii="黑体" w:hAnsi="黑体" w:eastAsia="黑体" w:cs="黑体"/>
                <w:color w:val="000000" w:themeColor="text1"/>
                <w:spacing w:val="1"/>
                <w:sz w:val="28"/>
                <w:szCs w:val="28"/>
                <w14:textFill>
                  <w14:solidFill>
                    <w14:schemeClr w14:val="tx1"/>
                  </w14:solidFill>
                </w14:textFill>
              </w:rPr>
              <w:t xml:space="preserve"> </w:t>
            </w:r>
            <w:r>
              <w:rPr>
                <w:rFonts w:ascii="黑体" w:hAnsi="黑体" w:eastAsia="黑体" w:cs="黑体"/>
                <w:color w:val="000000" w:themeColor="text1"/>
                <w:spacing w:val="-3"/>
                <w:sz w:val="28"/>
                <w:szCs w:val="28"/>
                <w14:textFill>
                  <w14:solidFill>
                    <w14:schemeClr w14:val="tx1"/>
                  </w14:solidFill>
                </w14:textFill>
              </w:rPr>
              <w:t>传输能力提升工程，实施全省声环境功能区自动站建设与联网工程。实</w:t>
            </w:r>
            <w:r>
              <w:rPr>
                <w:rFonts w:ascii="黑体" w:hAnsi="黑体" w:eastAsia="黑体" w:cs="黑体"/>
                <w:color w:val="000000" w:themeColor="text1"/>
                <w:spacing w:val="29"/>
                <w:sz w:val="28"/>
                <w:szCs w:val="28"/>
                <w14:textFill>
                  <w14:solidFill>
                    <w14:schemeClr w14:val="tx1"/>
                  </w14:solidFill>
                </w14:textFill>
              </w:rPr>
              <w:t xml:space="preserve"> </w:t>
            </w:r>
            <w:r>
              <w:rPr>
                <w:rFonts w:ascii="黑体" w:hAnsi="黑体" w:eastAsia="黑体" w:cs="黑体"/>
                <w:color w:val="000000" w:themeColor="text1"/>
                <w:spacing w:val="8"/>
                <w:sz w:val="28"/>
                <w:szCs w:val="28"/>
                <w14:textFill>
                  <w14:solidFill>
                    <w14:schemeClr w14:val="tx1"/>
                  </w14:solidFill>
                </w14:textFill>
              </w:rPr>
              <w:t>施</w:t>
            </w:r>
            <w:r>
              <w:rPr>
                <w:rFonts w:ascii="Times New Roman" w:hAnsi="Times New Roman" w:eastAsia="Times New Roman" w:cs="Times New Roman"/>
                <w:color w:val="000000" w:themeColor="text1"/>
                <w:spacing w:val="8"/>
                <w:sz w:val="28"/>
                <w:szCs w:val="28"/>
                <w14:textFill>
                  <w14:solidFill>
                    <w14:schemeClr w14:val="tx1"/>
                  </w14:solidFill>
                </w14:textFill>
              </w:rPr>
              <w:t>“</w:t>
            </w:r>
            <w:r>
              <w:rPr>
                <w:rFonts w:ascii="黑体" w:hAnsi="黑体" w:eastAsia="黑体" w:cs="黑体"/>
                <w:color w:val="000000" w:themeColor="text1"/>
                <w:spacing w:val="8"/>
                <w:sz w:val="28"/>
                <w:szCs w:val="28"/>
                <w14:textFill>
                  <w14:solidFill>
                    <w14:schemeClr w14:val="tx1"/>
                  </w14:solidFill>
                </w14:textFill>
              </w:rPr>
              <w:t>千吨万人</w:t>
            </w:r>
            <w:r>
              <w:rPr>
                <w:rFonts w:ascii="Times New Roman" w:hAnsi="Times New Roman" w:eastAsia="Times New Roman" w:cs="Times New Roman"/>
                <w:color w:val="000000" w:themeColor="text1"/>
                <w:spacing w:val="8"/>
                <w:sz w:val="28"/>
                <w:szCs w:val="28"/>
                <w14:textFill>
                  <w14:solidFill>
                    <w14:schemeClr w14:val="tx1"/>
                  </w14:solidFill>
                </w14:textFill>
              </w:rPr>
              <w:t>”</w:t>
            </w:r>
            <w:r>
              <w:rPr>
                <w:rFonts w:ascii="黑体" w:hAnsi="黑体" w:eastAsia="黑体" w:cs="黑体"/>
                <w:color w:val="000000" w:themeColor="text1"/>
                <w:spacing w:val="8"/>
                <w:sz w:val="28"/>
                <w:szCs w:val="28"/>
                <w14:textFill>
                  <w14:solidFill>
                    <w14:schemeClr w14:val="tx1"/>
                  </w14:solidFill>
                </w14:textFill>
              </w:rPr>
              <w:t>集中式饮用水水源地水质监测等农村环境监测能力建设</w:t>
            </w:r>
            <w:r>
              <w:rPr>
                <w:rFonts w:ascii="黑体" w:hAnsi="黑体" w:eastAsia="黑体" w:cs="黑体"/>
                <w:color w:val="000000" w:themeColor="text1"/>
                <w:spacing w:val="2"/>
                <w:sz w:val="28"/>
                <w:szCs w:val="28"/>
                <w14:textFill>
                  <w14:solidFill>
                    <w14:schemeClr w14:val="tx1"/>
                  </w14:solidFill>
                </w14:textFill>
              </w:rPr>
              <w:t xml:space="preserve"> </w:t>
            </w:r>
            <w:r>
              <w:rPr>
                <w:rFonts w:ascii="黑体" w:hAnsi="黑体" w:eastAsia="黑体" w:cs="黑体"/>
                <w:color w:val="000000" w:themeColor="text1"/>
                <w:spacing w:val="-1"/>
                <w:sz w:val="28"/>
                <w:szCs w:val="28"/>
                <w14:textFill>
                  <w14:solidFill>
                    <w14:schemeClr w14:val="tx1"/>
                  </w14:solidFill>
                </w14:textFill>
              </w:rPr>
              <w:t>工程，试点开展重点污染源远程质控管理系统建设工程。</w:t>
            </w:r>
          </w:p>
          <w:p>
            <w:pPr>
              <w:pageBreakBefore w:val="0"/>
              <w:widowControl/>
              <w:kinsoku w:val="0"/>
              <w:wordWrap/>
              <w:overflowPunct/>
              <w:topLinePunct w:val="0"/>
              <w:autoSpaceDE w:val="0"/>
              <w:autoSpaceDN w:val="0"/>
              <w:bidi w:val="0"/>
              <w:adjustRightInd w:val="0"/>
              <w:snapToGrid w:val="0"/>
              <w:spacing w:before="157" w:line="286" w:lineRule="auto"/>
              <w:ind w:left="104" w:right="104" w:firstLine="577"/>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3"/>
                <w:sz w:val="28"/>
                <w:szCs w:val="28"/>
                <w14:textOutline w14:w="5103" w14:cap="sq" w14:cmpd="sng">
                  <w14:solidFill>
                    <w14:srgbClr w14:val="000000"/>
                  </w14:solidFill>
                  <w14:prstDash w14:val="solid"/>
                  <w14:bevel/>
                </w14:textOutline>
                <w14:textFill>
                  <w14:solidFill>
                    <w14:schemeClr w14:val="tx1"/>
                  </w14:solidFill>
                </w14:textFill>
              </w:rPr>
              <w:t>生态环境信息化建设工程。</w:t>
            </w:r>
            <w:r>
              <w:rPr>
                <w:rFonts w:ascii="黑体" w:hAnsi="黑体" w:eastAsia="黑体" w:cs="黑体"/>
                <w:color w:val="000000" w:themeColor="text1"/>
                <w:spacing w:val="-3"/>
                <w:sz w:val="28"/>
                <w:szCs w:val="28"/>
                <w14:textFill>
                  <w14:solidFill>
                    <w14:schemeClr w14:val="tx1"/>
                  </w14:solidFill>
                </w14:textFill>
              </w:rPr>
              <w:t>聚焦蓝天保卫战、碧水保卫战、净土保</w:t>
            </w:r>
            <w:r>
              <w:rPr>
                <w:rFonts w:ascii="黑体" w:hAnsi="黑体" w:eastAsia="黑体" w:cs="黑体"/>
                <w:color w:val="000000" w:themeColor="text1"/>
                <w:spacing w:val="25"/>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卫战、长三角协同共治等生态环境保护重点任务，实施省生态环境大数</w:t>
            </w:r>
            <w:r>
              <w:rPr>
                <w:rFonts w:ascii="黑体" w:hAnsi="黑体" w:eastAsia="黑体" w:cs="黑体"/>
                <w:color w:val="000000" w:themeColor="text1"/>
                <w:spacing w:val="14"/>
                <w:sz w:val="28"/>
                <w:szCs w:val="28"/>
                <w14:textFill>
                  <w14:solidFill>
                    <w14:schemeClr w14:val="tx1"/>
                  </w14:solidFill>
                </w14:textFill>
              </w:rPr>
              <w:t xml:space="preserve"> </w:t>
            </w:r>
            <w:r>
              <w:rPr>
                <w:rFonts w:ascii="黑体" w:hAnsi="黑体" w:eastAsia="黑体" w:cs="黑体"/>
                <w:color w:val="000000" w:themeColor="text1"/>
                <w:spacing w:val="4"/>
                <w:sz w:val="28"/>
                <w:szCs w:val="28"/>
                <w14:textFill>
                  <w14:solidFill>
                    <w14:schemeClr w14:val="tx1"/>
                  </w14:solidFill>
                </w14:textFill>
              </w:rPr>
              <w:t>据中心与</w:t>
            </w:r>
            <w:r>
              <w:rPr>
                <w:rFonts w:ascii="Times New Roman" w:hAnsi="Times New Roman" w:eastAsia="Times New Roman" w:cs="Times New Roman"/>
                <w:color w:val="000000" w:themeColor="text1"/>
                <w:spacing w:val="4"/>
                <w:sz w:val="28"/>
                <w:szCs w:val="28"/>
                <w14:textFill>
                  <w14:solidFill>
                    <w14:schemeClr w14:val="tx1"/>
                  </w14:solidFill>
                </w14:textFill>
              </w:rPr>
              <w:t>“</w:t>
            </w:r>
            <w:r>
              <w:rPr>
                <w:rFonts w:ascii="黑体" w:hAnsi="黑体" w:eastAsia="黑体" w:cs="黑体"/>
                <w:color w:val="000000" w:themeColor="text1"/>
                <w:spacing w:val="4"/>
                <w:sz w:val="28"/>
                <w:szCs w:val="28"/>
                <w14:textFill>
                  <w14:solidFill>
                    <w14:schemeClr w14:val="tx1"/>
                  </w14:solidFill>
                </w14:textFill>
              </w:rPr>
              <w:t>数字江淮</w:t>
            </w:r>
            <w:r>
              <w:rPr>
                <w:rFonts w:ascii="Times New Roman" w:hAnsi="Times New Roman" w:eastAsia="Times New Roman" w:cs="Times New Roman"/>
                <w:color w:val="000000" w:themeColor="text1"/>
                <w:spacing w:val="4"/>
                <w:sz w:val="28"/>
                <w:szCs w:val="28"/>
                <w14:textFill>
                  <w14:solidFill>
                    <w14:schemeClr w14:val="tx1"/>
                  </w14:solidFill>
                </w14:textFill>
              </w:rPr>
              <w:t>”</w:t>
            </w:r>
            <w:r>
              <w:rPr>
                <w:rFonts w:ascii="黑体" w:hAnsi="黑体" w:eastAsia="黑体" w:cs="黑体"/>
                <w:color w:val="000000" w:themeColor="text1"/>
                <w:spacing w:val="4"/>
                <w:sz w:val="28"/>
                <w:szCs w:val="28"/>
                <w14:textFill>
                  <w14:solidFill>
                    <w14:schemeClr w14:val="tx1"/>
                  </w14:solidFill>
                </w14:textFill>
              </w:rPr>
              <w:t>对接工程，打造覆盖生态环境全业务的</w:t>
            </w:r>
            <w:r>
              <w:rPr>
                <w:rFonts w:ascii="Times New Roman" w:hAnsi="Times New Roman" w:eastAsia="Times New Roman" w:cs="Times New Roman"/>
                <w:color w:val="000000" w:themeColor="text1"/>
                <w:spacing w:val="4"/>
                <w:sz w:val="28"/>
                <w:szCs w:val="28"/>
                <w14:textFill>
                  <w14:solidFill>
                    <w14:schemeClr w14:val="tx1"/>
                  </w14:solidFill>
                </w14:textFill>
              </w:rPr>
              <w:t>“</w:t>
            </w:r>
            <w:r>
              <w:rPr>
                <w:rFonts w:ascii="黑体" w:hAnsi="黑体" w:eastAsia="黑体" w:cs="黑体"/>
                <w:color w:val="000000" w:themeColor="text1"/>
                <w:spacing w:val="4"/>
                <w:sz w:val="28"/>
                <w:szCs w:val="28"/>
                <w14:textFill>
                  <w14:solidFill>
                    <w14:schemeClr w14:val="tx1"/>
                  </w14:solidFill>
                </w14:textFill>
              </w:rPr>
              <w:t>数字江淮</w:t>
            </w:r>
            <w:r>
              <w:rPr>
                <w:rFonts w:ascii="黑体" w:hAnsi="黑体" w:eastAsia="黑体" w:cs="黑体"/>
                <w:color w:val="000000" w:themeColor="text1"/>
                <w:spacing w:val="14"/>
                <w:sz w:val="28"/>
                <w:szCs w:val="28"/>
                <w14:textFill>
                  <w14:solidFill>
                    <w14:schemeClr w14:val="tx1"/>
                  </w14:solidFill>
                </w14:textFill>
              </w:rPr>
              <w:t xml:space="preserve"> </w:t>
            </w:r>
            <w:r>
              <w:rPr>
                <w:rFonts w:ascii="Times New Roman" w:hAnsi="Times New Roman" w:eastAsia="Times New Roman" w:cs="Times New Roman"/>
                <w:color w:val="000000" w:themeColor="text1"/>
                <w:spacing w:val="-1"/>
                <w:sz w:val="28"/>
                <w:szCs w:val="28"/>
                <w14:textFill>
                  <w14:solidFill>
                    <w14:schemeClr w14:val="tx1"/>
                  </w14:solidFill>
                </w14:textFill>
              </w:rPr>
              <w:t>—</w:t>
            </w:r>
            <w:r>
              <w:rPr>
                <w:rFonts w:ascii="黑体" w:hAnsi="黑体" w:eastAsia="黑体" w:cs="黑体"/>
                <w:color w:val="000000" w:themeColor="text1"/>
                <w:spacing w:val="-1"/>
                <w:sz w:val="28"/>
                <w:szCs w:val="28"/>
                <w14:textFill>
                  <w14:solidFill>
                    <w14:schemeClr w14:val="tx1"/>
                  </w14:solidFill>
                </w14:textFill>
              </w:rPr>
              <w:t>智慧环保（</w:t>
            </w:r>
            <w:r>
              <w:rPr>
                <w:rFonts w:ascii="Times New Roman" w:hAnsi="Times New Roman" w:eastAsia="Times New Roman" w:cs="Times New Roman"/>
                <w:color w:val="000000" w:themeColor="text1"/>
                <w:spacing w:val="-1"/>
                <w:sz w:val="28"/>
                <w:szCs w:val="28"/>
                <w14:textFill>
                  <w14:solidFill>
                    <w14:schemeClr w14:val="tx1"/>
                  </w14:solidFill>
                </w14:textFill>
              </w:rPr>
              <w:t>2.0</w:t>
            </w:r>
            <w:r>
              <w:rPr>
                <w:rFonts w:ascii="Times New Roman" w:hAnsi="Times New Roman" w:eastAsia="Times New Roman" w:cs="Times New Roman"/>
                <w:color w:val="000000" w:themeColor="text1"/>
                <w:spacing w:val="1"/>
                <w:sz w:val="28"/>
                <w:szCs w:val="28"/>
                <w14:textFill>
                  <w14:solidFill>
                    <w14:schemeClr w14:val="tx1"/>
                  </w14:solidFill>
                </w14:textFill>
              </w:rPr>
              <w:t xml:space="preserve"> </w:t>
            </w:r>
            <w:r>
              <w:rPr>
                <w:rFonts w:ascii="黑体" w:hAnsi="黑体" w:eastAsia="黑体" w:cs="黑体"/>
                <w:color w:val="000000" w:themeColor="text1"/>
                <w:spacing w:val="-1"/>
                <w:sz w:val="28"/>
                <w:szCs w:val="28"/>
                <w14:textFill>
                  <w14:solidFill>
                    <w14:schemeClr w14:val="tx1"/>
                  </w14:solidFill>
                </w14:textFill>
              </w:rPr>
              <w:t>）</w:t>
            </w:r>
            <w:r>
              <w:rPr>
                <w:rFonts w:ascii="Times New Roman" w:hAnsi="Times New Roman" w:eastAsia="Times New Roman" w:cs="Times New Roman"/>
                <w:color w:val="000000" w:themeColor="text1"/>
                <w:spacing w:val="-1"/>
                <w:sz w:val="28"/>
                <w:szCs w:val="28"/>
                <w14:textFill>
                  <w14:solidFill>
                    <w14:schemeClr w14:val="tx1"/>
                  </w14:solidFill>
                </w14:textFill>
              </w:rPr>
              <w:t>”</w:t>
            </w:r>
            <w:r>
              <w:rPr>
                <w:rFonts w:ascii="黑体" w:hAnsi="黑体" w:eastAsia="黑体" w:cs="黑体"/>
                <w:color w:val="000000" w:themeColor="text1"/>
                <w:spacing w:val="-1"/>
                <w:sz w:val="28"/>
                <w:szCs w:val="28"/>
                <w14:textFill>
                  <w14:solidFill>
                    <w14:schemeClr w14:val="tx1"/>
                  </w14:solidFill>
                </w14:textFill>
              </w:rPr>
              <w:t>综合平台。拓展整合移动应用，推进远程智慧监管</w:t>
            </w:r>
            <w:r>
              <w:rPr>
                <w:rFonts w:ascii="黑体" w:hAnsi="黑体" w:eastAsia="黑体" w:cs="黑体"/>
                <w:color w:val="000000" w:themeColor="text1"/>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能力建设工程。实施生态环境监测数据智慧应用系统建设工程。在马鞍</w:t>
            </w:r>
            <w:r>
              <w:rPr>
                <w:rFonts w:ascii="黑体" w:hAnsi="黑体" w:eastAsia="黑体" w:cs="黑体"/>
                <w:color w:val="000000" w:themeColor="text1"/>
                <w:spacing w:val="14"/>
                <w:sz w:val="28"/>
                <w:szCs w:val="28"/>
                <w14:textFill>
                  <w14:solidFill>
                    <w14:schemeClr w14:val="tx1"/>
                  </w14:solidFill>
                </w14:textFill>
              </w:rPr>
              <w:t xml:space="preserve"> </w:t>
            </w:r>
            <w:r>
              <w:rPr>
                <w:rFonts w:ascii="黑体" w:hAnsi="黑体" w:eastAsia="黑体" w:cs="黑体"/>
                <w:color w:val="000000" w:themeColor="text1"/>
                <w:sz w:val="28"/>
                <w:szCs w:val="28"/>
                <w14:textFill>
                  <w14:solidFill>
                    <w14:schemeClr w14:val="tx1"/>
                  </w14:solidFill>
                </w14:textFill>
              </w:rPr>
              <w:t>山建设区域环境风险应急统一管理平台。</w:t>
            </w:r>
          </w:p>
          <w:p>
            <w:pPr>
              <w:pageBreakBefore w:val="0"/>
              <w:widowControl/>
              <w:kinsoku w:val="0"/>
              <w:wordWrap/>
              <w:overflowPunct/>
              <w:topLinePunct w:val="0"/>
              <w:autoSpaceDE w:val="0"/>
              <w:autoSpaceDN w:val="0"/>
              <w:bidi w:val="0"/>
              <w:adjustRightInd w:val="0"/>
              <w:snapToGrid w:val="0"/>
              <w:spacing w:before="156" w:line="303" w:lineRule="auto"/>
              <w:ind w:left="109" w:right="102" w:firstLine="571"/>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z w:val="28"/>
                <w:szCs w:val="28"/>
                <w14:textOutline w14:w="5103" w14:cap="sq" w14:cmpd="sng">
                  <w14:solidFill>
                    <w14:srgbClr w14:val="000000"/>
                  </w14:solidFill>
                  <w14:prstDash w14:val="solid"/>
                  <w14:bevel/>
                </w14:textOutline>
                <w14:textFill>
                  <w14:solidFill>
                    <w14:schemeClr w14:val="tx1"/>
                  </w14:solidFill>
                </w14:textFill>
              </w:rPr>
              <w:t>生态环境科研支撑工程。</w:t>
            </w:r>
            <w:r>
              <w:rPr>
                <w:rFonts w:ascii="黑体" w:hAnsi="黑体" w:eastAsia="黑体" w:cs="黑体"/>
                <w:color w:val="000000" w:themeColor="text1"/>
                <w:sz w:val="28"/>
                <w:szCs w:val="28"/>
                <w14:textFill>
                  <w14:solidFill>
                    <w14:schemeClr w14:val="tx1"/>
                  </w14:solidFill>
                </w14:textFill>
              </w:rPr>
              <w:t>实施</w:t>
            </w:r>
            <w:r>
              <w:rPr>
                <w:rFonts w:ascii="黑体" w:hAnsi="黑体" w:eastAsia="黑体" w:cs="黑体"/>
                <w:color w:val="000000" w:themeColor="text1"/>
                <w:spacing w:val="-43"/>
                <w:sz w:val="28"/>
                <w:szCs w:val="28"/>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PM</w:t>
            </w:r>
            <w:r>
              <w:rPr>
                <w:rFonts w:ascii="Times New Roman" w:hAnsi="Times New Roman" w:eastAsia="Times New Roman" w:cs="Times New Roman"/>
                <w:color w:val="000000" w:themeColor="text1"/>
                <w:position w:val="-2"/>
                <w:sz w:val="28"/>
                <w:szCs w:val="28"/>
                <w14:textFill>
                  <w14:solidFill>
                    <w14:schemeClr w14:val="tx1"/>
                  </w14:solidFill>
                </w14:textFill>
              </w:rPr>
              <w:t>2.5</w:t>
            </w:r>
            <w:r>
              <w:rPr>
                <w:rFonts w:ascii="Times New Roman" w:hAnsi="Times New Roman" w:eastAsia="Times New Roman" w:cs="Times New Roman"/>
                <w:color w:val="000000" w:themeColor="text1"/>
                <w:spacing w:val="8"/>
                <w:w w:val="101"/>
                <w:position w:val="-2"/>
                <w:sz w:val="28"/>
                <w:szCs w:val="28"/>
                <w14:textFill>
                  <w14:solidFill>
                    <w14:schemeClr w14:val="tx1"/>
                  </w14:solidFill>
                </w14:textFill>
              </w:rPr>
              <w:t xml:space="preserve"> </w:t>
            </w:r>
            <w:r>
              <w:rPr>
                <w:rFonts w:ascii="黑体" w:hAnsi="黑体" w:eastAsia="黑体" w:cs="黑体"/>
                <w:color w:val="000000" w:themeColor="text1"/>
                <w:sz w:val="28"/>
                <w:szCs w:val="28"/>
                <w14:textFill>
                  <w14:solidFill>
                    <w14:schemeClr w14:val="tx1"/>
                  </w14:solidFill>
                </w14:textFill>
              </w:rPr>
              <w:t xml:space="preserve">和臭氧污染成因分析与协同控 </w:t>
            </w:r>
            <w:r>
              <w:rPr>
                <w:rFonts w:ascii="黑体" w:hAnsi="黑体" w:eastAsia="黑体" w:cs="黑体"/>
                <w:color w:val="000000" w:themeColor="text1"/>
                <w:spacing w:val="-2"/>
                <w:sz w:val="28"/>
                <w:szCs w:val="28"/>
                <w14:textFill>
                  <w14:solidFill>
                    <w14:schemeClr w14:val="tx1"/>
                  </w14:solidFill>
                </w14:textFill>
              </w:rPr>
              <w:t>制、湖泊富营养化机理、大气污染物与温室气体排放协同控制技术、生</w:t>
            </w:r>
            <w:r>
              <w:rPr>
                <w:rFonts w:ascii="黑体" w:hAnsi="黑体" w:eastAsia="黑体" w:cs="黑体"/>
                <w:color w:val="000000" w:themeColor="text1"/>
                <w:spacing w:val="9"/>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态环境协同治理、多源有机固废集约化协同热处理技术、土壤污染形成</w:t>
            </w:r>
            <w:r>
              <w:rPr>
                <w:rFonts w:ascii="黑体" w:hAnsi="黑体" w:eastAsia="黑体" w:cs="黑体"/>
                <w:color w:val="000000" w:themeColor="text1"/>
                <w:spacing w:val="9"/>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机制、监测预警与风险管控关键技术等方面研究。推进生态环境重点实</w:t>
            </w:r>
            <w:r>
              <w:rPr>
                <w:rFonts w:ascii="黑体" w:hAnsi="黑体" w:eastAsia="黑体" w:cs="黑体"/>
                <w:color w:val="000000" w:themeColor="text1"/>
                <w:spacing w:val="9"/>
                <w:sz w:val="28"/>
                <w:szCs w:val="28"/>
                <w14:textFill>
                  <w14:solidFill>
                    <w14:schemeClr w14:val="tx1"/>
                  </w14:solidFill>
                </w14:textFill>
              </w:rPr>
              <w:t xml:space="preserve"> </w:t>
            </w:r>
            <w:r>
              <w:rPr>
                <w:rFonts w:ascii="黑体" w:hAnsi="黑体" w:eastAsia="黑体" w:cs="黑体"/>
                <w:color w:val="000000" w:themeColor="text1"/>
                <w:spacing w:val="-1"/>
                <w:sz w:val="28"/>
                <w:szCs w:val="28"/>
                <w14:textFill>
                  <w14:solidFill>
                    <w14:schemeClr w14:val="tx1"/>
                  </w14:solidFill>
                </w14:textFill>
              </w:rPr>
              <w:t>验室建设。建设生态环保智库、生态环境治理技术应用示范基地。</w:t>
            </w:r>
          </w:p>
          <w:p>
            <w:pPr>
              <w:pageBreakBefore w:val="0"/>
              <w:widowControl/>
              <w:kinsoku w:val="0"/>
              <w:wordWrap/>
              <w:overflowPunct/>
              <w:topLinePunct w:val="0"/>
              <w:autoSpaceDE w:val="0"/>
              <w:autoSpaceDN w:val="0"/>
              <w:bidi w:val="0"/>
              <w:adjustRightInd w:val="0"/>
              <w:snapToGrid w:val="0"/>
              <w:spacing w:line="269" w:lineRule="auto"/>
              <w:ind w:left="117" w:right="102" w:firstLine="563"/>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6"/>
                <w:sz w:val="28"/>
                <w:szCs w:val="28"/>
                <w14:textOutline w14:w="5103" w14:cap="sq" w14:cmpd="sng">
                  <w14:solidFill>
                    <w14:srgbClr w14:val="000000"/>
                  </w14:solidFill>
                  <w14:prstDash w14:val="solid"/>
                  <w14:bevel/>
                </w14:textOutline>
                <w14:textFill>
                  <w14:solidFill>
                    <w14:schemeClr w14:val="tx1"/>
                  </w14:solidFill>
                </w14:textFill>
              </w:rPr>
              <w:t>生态环境执法监管能力建设。</w:t>
            </w:r>
            <w:r>
              <w:rPr>
                <w:rFonts w:ascii="黑体" w:hAnsi="黑体" w:eastAsia="黑体" w:cs="黑体"/>
                <w:color w:val="000000" w:themeColor="text1"/>
                <w:spacing w:val="-6"/>
                <w:sz w:val="28"/>
                <w:szCs w:val="28"/>
                <w14:textFill>
                  <w14:solidFill>
                    <w14:schemeClr w14:val="tx1"/>
                  </w14:solidFill>
                </w14:textFill>
              </w:rPr>
              <w:t>实施市、县、乡镇（街道）</w:t>
            </w:r>
            <w:r>
              <w:rPr>
                <w:rFonts w:ascii="黑体" w:hAnsi="黑体" w:eastAsia="黑体" w:cs="黑体"/>
                <w:color w:val="000000" w:themeColor="text1"/>
                <w:spacing w:val="-26"/>
                <w:sz w:val="28"/>
                <w:szCs w:val="28"/>
                <w14:textFill>
                  <w14:solidFill>
                    <w14:schemeClr w14:val="tx1"/>
                  </w14:solidFill>
                </w14:textFill>
              </w:rPr>
              <w:t xml:space="preserve"> </w:t>
            </w:r>
            <w:r>
              <w:rPr>
                <w:rFonts w:ascii="黑体" w:hAnsi="黑体" w:eastAsia="黑体" w:cs="黑体"/>
                <w:color w:val="000000" w:themeColor="text1"/>
                <w:spacing w:val="-6"/>
                <w:sz w:val="28"/>
                <w:szCs w:val="28"/>
                <w14:textFill>
                  <w14:solidFill>
                    <w14:schemeClr w14:val="tx1"/>
                  </w14:solidFill>
                </w14:textFill>
              </w:rPr>
              <w:t>和开发区</w:t>
            </w:r>
            <w:r>
              <w:rPr>
                <w:rFonts w:ascii="黑体" w:hAnsi="黑体" w:eastAsia="黑体" w:cs="黑体"/>
                <w:color w:val="000000" w:themeColor="text1"/>
                <w:sz w:val="28"/>
                <w:szCs w:val="28"/>
                <w14:textFill>
                  <w14:solidFill>
                    <w14:schemeClr w14:val="tx1"/>
                  </w14:solidFill>
                </w14:textFill>
              </w:rPr>
              <w:t xml:space="preserve"> </w:t>
            </w:r>
            <w:r>
              <w:rPr>
                <w:rFonts w:ascii="黑体" w:hAnsi="黑体" w:eastAsia="黑体" w:cs="黑体"/>
                <w:color w:val="000000" w:themeColor="text1"/>
                <w:spacing w:val="-2"/>
                <w:sz w:val="28"/>
                <w:szCs w:val="28"/>
                <w14:textFill>
                  <w14:solidFill>
                    <w14:schemeClr w14:val="tx1"/>
                  </w14:solidFill>
                </w14:textFill>
              </w:rPr>
              <w:t>环境执法队伍建设和能力提升工程，实施环境执法队伍统一着装、统一</w:t>
            </w:r>
            <w:r>
              <w:rPr>
                <w:rFonts w:ascii="黑体" w:hAnsi="黑体" w:eastAsia="黑体" w:cs="黑体"/>
                <w:color w:val="000000" w:themeColor="text1"/>
                <w:spacing w:val="4"/>
                <w:sz w:val="28"/>
                <w:szCs w:val="28"/>
                <w14:textFill>
                  <w14:solidFill>
                    <w14:schemeClr w14:val="tx1"/>
                  </w14:solidFill>
                </w14:textFill>
              </w:rPr>
              <w:t xml:space="preserve"> </w:t>
            </w:r>
            <w:r>
              <w:rPr>
                <w:rFonts w:ascii="黑体" w:hAnsi="黑体" w:eastAsia="黑体" w:cs="黑体"/>
                <w:color w:val="000000" w:themeColor="text1"/>
                <w:spacing w:val="-1"/>
                <w:sz w:val="28"/>
                <w:szCs w:val="28"/>
                <w14:textFill>
                  <w14:solidFill>
                    <w14:schemeClr w14:val="tx1"/>
                  </w14:solidFill>
                </w14:textFill>
              </w:rPr>
              <w:t>标识、统一证件、统一保障执法用车和装备的标准化建设工程。</w:t>
            </w:r>
          </w:p>
        </w:tc>
      </w:tr>
    </w:tbl>
    <w:p>
      <w:pPr>
        <w:bidi w:val="0"/>
        <w:rPr>
          <w:color w:val="000000" w:themeColor="text1"/>
          <w14:textFill>
            <w14:solidFill>
              <w14:schemeClr w14:val="tx1"/>
            </w14:solidFill>
          </w14:textFill>
        </w:rPr>
      </w:pPr>
      <w:bookmarkStart w:id="32" w:name="_Toc13097"/>
    </w:p>
    <w:p>
      <w:pPr>
        <w:pStyle w:val="2"/>
        <w:keepNext/>
        <w:keepLines/>
        <w:pageBreakBefore w:val="0"/>
        <w:widowControl/>
        <w:kinsoku w:val="0"/>
        <w:wordWrap/>
        <w:overflowPunct/>
        <w:topLinePunct w:val="0"/>
        <w:autoSpaceDE w:val="0"/>
        <w:autoSpaceDN w:val="0"/>
        <w:bidi w:val="0"/>
        <w:adjustRightInd w:val="0"/>
        <w:snapToGrid w:val="0"/>
        <w:spacing w:before="0" w:after="0" w:line="360" w:lineRule="auto"/>
        <w:textAlignment w:val="baseline"/>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3"/>
          <w:sz w:val="28"/>
          <w:szCs w:val="28"/>
          <w14:textFill>
            <w14:solidFill>
              <w14:schemeClr w14:val="tx1"/>
            </w14:solidFill>
          </w14:textFill>
        </w:rPr>
        <w:t>七、保障措施</w:t>
      </w:r>
      <w:bookmarkEnd w:id="32"/>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34" w:firstLineChars="200"/>
        <w:textAlignment w:val="baseline"/>
        <w:rPr>
          <w:rFonts w:ascii="黑体" w:hAnsi="黑体" w:eastAsia="黑体" w:cs="黑体"/>
          <w:color w:val="000000" w:themeColor="text1"/>
          <w:sz w:val="28"/>
          <w:szCs w:val="28"/>
          <w14:textFill>
            <w14:solidFill>
              <w14:schemeClr w14:val="tx1"/>
            </w14:solidFill>
          </w14:textFill>
        </w:rPr>
      </w:pPr>
      <w:bookmarkStart w:id="33" w:name="_Toc29244"/>
      <w:r>
        <w:rPr>
          <w:rFonts w:ascii="黑体" w:hAnsi="黑体" w:eastAsia="黑体" w:cs="黑体"/>
          <w:color w:val="000000" w:themeColor="text1"/>
          <w:spacing w:val="-7"/>
          <w:sz w:val="28"/>
          <w:szCs w:val="28"/>
          <w14:textFill>
            <w14:solidFill>
              <w14:schemeClr w14:val="tx1"/>
            </w14:solidFill>
          </w14:textFill>
        </w:rPr>
        <w:t>（</w:t>
      </w:r>
      <w:r>
        <w:rPr>
          <w:rFonts w:ascii="黑体" w:hAnsi="黑体" w:eastAsia="黑体" w:cs="黑体"/>
          <w:color w:val="000000" w:themeColor="text1"/>
          <w:spacing w:val="-84"/>
          <w:sz w:val="28"/>
          <w:szCs w:val="28"/>
          <w14:textFill>
            <w14:solidFill>
              <w14:schemeClr w14:val="tx1"/>
            </w14:solidFill>
          </w14:textFill>
        </w:rPr>
        <w:t xml:space="preserve"> </w:t>
      </w:r>
      <w:r>
        <w:rPr>
          <w:rFonts w:ascii="黑体" w:hAnsi="黑体" w:eastAsia="黑体" w:cs="黑体"/>
          <w:color w:val="000000" w:themeColor="text1"/>
          <w:spacing w:val="-7"/>
          <w:sz w:val="28"/>
          <w:szCs w:val="28"/>
          <w14:textFill>
            <w14:solidFill>
              <w14:schemeClr w14:val="tx1"/>
            </w14:solidFill>
          </w14:textFill>
        </w:rPr>
        <w:t>一）落实主体责任</w:t>
      </w:r>
      <w:bookmarkEnd w:id="33"/>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各级人民政府要根据本规划确定的目标、任务、措施和重大工程，制定并公布生态环境保护年度目标和重点任务。有关部门要按照职责分工，制定落实方案计划，强化部门协作和地方指导，推动目标任务落实。各地各部门编制相关规划时，要与本规划做好衔接。</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38" w:firstLineChars="200"/>
        <w:textAlignment w:val="baseline"/>
        <w:rPr>
          <w:rFonts w:ascii="黑体" w:hAnsi="黑体" w:eastAsia="黑体" w:cs="黑体"/>
          <w:color w:val="000000" w:themeColor="text1"/>
          <w:sz w:val="28"/>
          <w:szCs w:val="28"/>
          <w14:textFill>
            <w14:solidFill>
              <w14:schemeClr w14:val="tx1"/>
            </w14:solidFill>
          </w14:textFill>
        </w:rPr>
      </w:pPr>
      <w:bookmarkStart w:id="34" w:name="_Toc31282"/>
      <w:r>
        <w:rPr>
          <w:rFonts w:ascii="黑体" w:hAnsi="黑体" w:eastAsia="黑体" w:cs="黑体"/>
          <w:color w:val="000000" w:themeColor="text1"/>
          <w:spacing w:val="-6"/>
          <w:sz w:val="28"/>
          <w:szCs w:val="28"/>
          <w14:textFill>
            <w14:solidFill>
              <w14:schemeClr w14:val="tx1"/>
            </w14:solidFill>
          </w14:textFill>
        </w:rPr>
        <w:t>（</w:t>
      </w:r>
      <w:r>
        <w:rPr>
          <w:rFonts w:ascii="黑体" w:hAnsi="黑体" w:eastAsia="黑体" w:cs="黑体"/>
          <w:color w:val="000000" w:themeColor="text1"/>
          <w:spacing w:val="-93"/>
          <w:sz w:val="28"/>
          <w:szCs w:val="28"/>
          <w14:textFill>
            <w14:solidFill>
              <w14:schemeClr w14:val="tx1"/>
            </w14:solidFill>
          </w14:textFill>
        </w:rPr>
        <w:t xml:space="preserve"> </w:t>
      </w:r>
      <w:r>
        <w:rPr>
          <w:rFonts w:ascii="黑体" w:hAnsi="黑体" w:eastAsia="黑体" w:cs="黑体"/>
          <w:color w:val="000000" w:themeColor="text1"/>
          <w:spacing w:val="-6"/>
          <w:sz w:val="28"/>
          <w:szCs w:val="28"/>
          <w14:textFill>
            <w14:solidFill>
              <w14:schemeClr w14:val="tx1"/>
            </w14:solidFill>
          </w14:textFill>
        </w:rPr>
        <w:t>二）加大投入力度</w:t>
      </w:r>
      <w:bookmarkEnd w:id="34"/>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合理配置公共资源，引导调控社会资源，拓宽投融资渠道，综合运用土地、规划、金融、价格多种政策引导社会资本投入。积极推行政府和社会资本合作，吸引社会资本参与 准公益和公益性环境保护项 目。充分发挥市场力量，鼓励社 会资本设立环境保护基金和增加生态环保投入。</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494" w:firstLineChars="200"/>
        <w:textAlignment w:val="baseline"/>
        <w:rPr>
          <w:rFonts w:ascii="黑体" w:hAnsi="黑体" w:eastAsia="黑体" w:cs="黑体"/>
          <w:color w:val="000000" w:themeColor="text1"/>
          <w:sz w:val="28"/>
          <w:szCs w:val="28"/>
          <w14:textFill>
            <w14:solidFill>
              <w14:schemeClr w14:val="tx1"/>
            </w14:solidFill>
          </w14:textFill>
        </w:rPr>
      </w:pPr>
      <w:bookmarkStart w:id="35" w:name="_Toc10479"/>
      <w:r>
        <w:rPr>
          <w:rFonts w:ascii="黑体" w:hAnsi="黑体" w:eastAsia="黑体" w:cs="黑体"/>
          <w:color w:val="000000" w:themeColor="text1"/>
          <w:spacing w:val="-17"/>
          <w:sz w:val="28"/>
          <w:szCs w:val="28"/>
          <w14:textFill>
            <w14:solidFill>
              <w14:schemeClr w14:val="tx1"/>
            </w14:solidFill>
          </w14:textFill>
        </w:rPr>
        <w:t>（</w:t>
      </w:r>
      <w:r>
        <w:rPr>
          <w:rFonts w:ascii="黑体" w:hAnsi="黑体" w:eastAsia="黑体" w:cs="黑体"/>
          <w:color w:val="000000" w:themeColor="text1"/>
          <w:spacing w:val="-83"/>
          <w:sz w:val="28"/>
          <w:szCs w:val="28"/>
          <w14:textFill>
            <w14:solidFill>
              <w14:schemeClr w14:val="tx1"/>
            </w14:solidFill>
          </w14:textFill>
        </w:rPr>
        <w:t xml:space="preserve"> </w:t>
      </w:r>
      <w:r>
        <w:rPr>
          <w:rFonts w:ascii="黑体" w:hAnsi="黑体" w:eastAsia="黑体" w:cs="黑体"/>
          <w:color w:val="000000" w:themeColor="text1"/>
          <w:spacing w:val="-17"/>
          <w:sz w:val="28"/>
          <w:szCs w:val="28"/>
          <w14:textFill>
            <w14:solidFill>
              <w14:schemeClr w14:val="tx1"/>
            </w14:solidFill>
          </w14:textFill>
        </w:rPr>
        <w:t>三</w:t>
      </w:r>
      <w:r>
        <w:rPr>
          <w:rFonts w:ascii="黑体" w:hAnsi="黑体" w:eastAsia="黑体" w:cs="黑体"/>
          <w:color w:val="000000" w:themeColor="text1"/>
          <w:spacing w:val="-71"/>
          <w:sz w:val="28"/>
          <w:szCs w:val="28"/>
          <w14:textFill>
            <w14:solidFill>
              <w14:schemeClr w14:val="tx1"/>
            </w14:solidFill>
          </w14:textFill>
        </w:rPr>
        <w:t xml:space="preserve"> </w:t>
      </w:r>
      <w:r>
        <w:rPr>
          <w:rFonts w:ascii="黑体" w:hAnsi="黑体" w:eastAsia="黑体" w:cs="黑体"/>
          <w:color w:val="000000" w:themeColor="text1"/>
          <w:spacing w:val="-17"/>
          <w:sz w:val="28"/>
          <w:szCs w:val="28"/>
          <w14:textFill>
            <w14:solidFill>
              <w14:schemeClr w14:val="tx1"/>
            </w14:solidFill>
          </w14:textFill>
        </w:rPr>
        <w:t>）实施重大工程</w:t>
      </w:r>
      <w:bookmarkEnd w:id="35"/>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围绕规划目标和重点问题，实施蓝天、碧水、净土、生态保护与修复、基础能力建设提升等重大工程。同时与各市县协同联动，完善重大项目储备机制，建立重点工程项目库， 动态调整、分期分类实施。强化项目监管，完善后评价制度。</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34" w:firstLineChars="200"/>
        <w:textAlignment w:val="baseline"/>
        <w:rPr>
          <w:rFonts w:ascii="黑体" w:hAnsi="黑体" w:eastAsia="黑体" w:cs="黑体"/>
          <w:color w:val="000000" w:themeColor="text1"/>
          <w:sz w:val="28"/>
          <w:szCs w:val="28"/>
          <w14:textFill>
            <w14:solidFill>
              <w14:schemeClr w14:val="tx1"/>
            </w14:solidFill>
          </w14:textFill>
        </w:rPr>
      </w:pPr>
      <w:bookmarkStart w:id="36" w:name="_Toc17991"/>
      <w:r>
        <w:rPr>
          <w:rFonts w:ascii="黑体" w:hAnsi="黑体" w:eastAsia="黑体" w:cs="黑体"/>
          <w:color w:val="000000" w:themeColor="text1"/>
          <w:spacing w:val="-7"/>
          <w:sz w:val="28"/>
          <w:szCs w:val="28"/>
          <w14:textFill>
            <w14:solidFill>
              <w14:schemeClr w14:val="tx1"/>
            </w14:solidFill>
          </w14:textFill>
        </w:rPr>
        <w:t>（</w:t>
      </w:r>
      <w:r>
        <w:rPr>
          <w:rFonts w:ascii="黑体" w:hAnsi="黑体" w:eastAsia="黑体" w:cs="黑体"/>
          <w:color w:val="000000" w:themeColor="text1"/>
          <w:spacing w:val="-84"/>
          <w:sz w:val="28"/>
          <w:szCs w:val="28"/>
          <w14:textFill>
            <w14:solidFill>
              <w14:schemeClr w14:val="tx1"/>
            </w14:solidFill>
          </w14:textFill>
        </w:rPr>
        <w:t xml:space="preserve"> </w:t>
      </w:r>
      <w:r>
        <w:rPr>
          <w:rFonts w:ascii="黑体" w:hAnsi="黑体" w:eastAsia="黑体" w:cs="黑体"/>
          <w:color w:val="000000" w:themeColor="text1"/>
          <w:spacing w:val="-7"/>
          <w:sz w:val="28"/>
          <w:szCs w:val="28"/>
          <w14:textFill>
            <w14:solidFill>
              <w14:schemeClr w14:val="tx1"/>
            </w14:solidFill>
          </w14:textFill>
        </w:rPr>
        <w:t>四）加强人才建设</w:t>
      </w:r>
      <w:bookmarkEnd w:id="36"/>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积极推进新形势下生态环境保护铁军建设，培养一批专 业化、高层次、复合型、实用型的环保人才队伍。努力创新 基层环保人才培训模式，探索与第三方机构建立环保联合培 训机制。鼓励人才向基层一线流动，不断提升基层环保人才 队伍整体素质和工作能力。通过业务培训、比赛竞赛、挂职锻炼、经验交流等多种方式，提高业务本领。</w:t>
      </w:r>
    </w:p>
    <w:p>
      <w:pPr>
        <w:pStyle w:val="3"/>
        <w:keepNext/>
        <w:keepLines/>
        <w:pageBreakBefore w:val="0"/>
        <w:widowControl/>
        <w:kinsoku w:val="0"/>
        <w:wordWrap/>
        <w:overflowPunct/>
        <w:topLinePunct w:val="0"/>
        <w:autoSpaceDE w:val="0"/>
        <w:autoSpaceDN w:val="0"/>
        <w:bidi w:val="0"/>
        <w:adjustRightInd w:val="0"/>
        <w:snapToGrid w:val="0"/>
        <w:spacing w:before="0" w:after="0" w:line="360" w:lineRule="auto"/>
        <w:ind w:firstLine="534" w:firstLineChars="200"/>
        <w:textAlignment w:val="baseline"/>
        <w:rPr>
          <w:rFonts w:ascii="黑体" w:hAnsi="黑体" w:eastAsia="黑体" w:cs="黑体"/>
          <w:color w:val="000000" w:themeColor="text1"/>
          <w:sz w:val="28"/>
          <w:szCs w:val="28"/>
          <w14:textFill>
            <w14:solidFill>
              <w14:schemeClr w14:val="tx1"/>
            </w14:solidFill>
          </w14:textFill>
        </w:rPr>
      </w:pPr>
      <w:bookmarkStart w:id="37" w:name="_Toc14661"/>
      <w:r>
        <w:rPr>
          <w:rFonts w:ascii="黑体" w:hAnsi="黑体" w:eastAsia="黑体" w:cs="黑体"/>
          <w:color w:val="000000" w:themeColor="text1"/>
          <w:spacing w:val="-7"/>
          <w:sz w:val="28"/>
          <w:szCs w:val="28"/>
          <w14:textFill>
            <w14:solidFill>
              <w14:schemeClr w14:val="tx1"/>
            </w14:solidFill>
          </w14:textFill>
        </w:rPr>
        <w:t>（</w:t>
      </w:r>
      <w:r>
        <w:rPr>
          <w:rFonts w:ascii="黑体" w:hAnsi="黑体" w:eastAsia="黑体" w:cs="黑体"/>
          <w:color w:val="000000" w:themeColor="text1"/>
          <w:spacing w:val="-84"/>
          <w:sz w:val="28"/>
          <w:szCs w:val="28"/>
          <w14:textFill>
            <w14:solidFill>
              <w14:schemeClr w14:val="tx1"/>
            </w14:solidFill>
          </w14:textFill>
        </w:rPr>
        <w:t xml:space="preserve"> </w:t>
      </w:r>
      <w:r>
        <w:rPr>
          <w:rFonts w:ascii="黑体" w:hAnsi="黑体" w:eastAsia="黑体" w:cs="黑体"/>
          <w:color w:val="000000" w:themeColor="text1"/>
          <w:spacing w:val="-7"/>
          <w:sz w:val="28"/>
          <w:szCs w:val="28"/>
          <w14:textFill>
            <w14:solidFill>
              <w14:schemeClr w14:val="tx1"/>
            </w14:solidFill>
          </w14:textFill>
        </w:rPr>
        <w:t>五）强化跟踪评估</w:t>
      </w:r>
      <w:bookmarkEnd w:id="37"/>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72" w:firstLineChars="200"/>
        <w:jc w:val="both"/>
        <w:textAlignment w:val="baseline"/>
        <w:rPr>
          <w:rFonts w:ascii="Times New Roman" w:hAnsi="Times New Roman" w:eastAsia="Times New Roman" w:cs="Times New Roman"/>
          <w:color w:val="000000" w:themeColor="text1"/>
          <w:spacing w:val="3"/>
          <w:sz w:val="28"/>
          <w:szCs w:val="28"/>
          <w14:textFill>
            <w14:solidFill>
              <w14:schemeClr w14:val="tx1"/>
            </w14:solidFill>
          </w14:textFill>
        </w:rPr>
      </w:pPr>
      <w:r>
        <w:rPr>
          <w:rFonts w:ascii="Times New Roman" w:hAnsi="Times New Roman" w:eastAsia="Times New Roman" w:cs="Times New Roman"/>
          <w:color w:val="000000" w:themeColor="text1"/>
          <w:spacing w:val="3"/>
          <w:sz w:val="28"/>
          <w:szCs w:val="28"/>
          <w14:textFill>
            <w14:solidFill>
              <w14:schemeClr w14:val="tx1"/>
            </w14:solidFill>
          </w14:textFill>
        </w:rPr>
        <w:t>加强对规划实施情况的评估分析和结果应用，重大问题 及时向省政府报告。省生态环境厅会同相关部门在 2023 年、2025 年分别对本规划执行情况进行中期评估和总结评估。</w:t>
      </w:r>
    </w:p>
    <w:sectPr>
      <w:footerReference r:id="rId6" w:type="default"/>
      <w:pgSz w:w="11906" w:h="16839"/>
      <w:pgMar w:top="1431" w:right="1670" w:bottom="1052" w:left="1785" w:header="0" w:footer="85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ind w:firstLine="164"/>
      <w:rPr>
        <w:rFonts w:ascii="宋体" w:hAnsi="宋体" w:eastAsia="宋体" w:cs="宋体"/>
        <w:sz w:val="28"/>
        <w:szCs w:val="28"/>
      </w:rPr>
    </w:pPr>
    <w:r>
      <w:rPr>
        <w:rFonts w:ascii="宋体" w:hAnsi="宋体" w:eastAsia="宋体" w:cs="宋体"/>
        <w:spacing w:val="-11"/>
        <w:position w:val="-4"/>
        <w:sz w:val="28"/>
        <w:szCs w:val="28"/>
      </w:rPr>
      <w:t>-</w:t>
    </w:r>
    <w:r>
      <w:rPr>
        <w:rFonts w:ascii="宋体" w:hAnsi="宋体" w:eastAsia="宋体" w:cs="宋体"/>
        <w:spacing w:val="35"/>
        <w:position w:val="-4"/>
        <w:sz w:val="28"/>
        <w:szCs w:val="28"/>
      </w:rPr>
      <w:t xml:space="preserve"> </w:t>
    </w:r>
    <w:r>
      <w:rPr>
        <w:rFonts w:ascii="宋体" w:hAnsi="宋体" w:eastAsia="宋体" w:cs="宋体"/>
        <w:spacing w:val="-11"/>
        <w:position w:val="-4"/>
        <w:sz w:val="28"/>
        <w:szCs w:val="28"/>
      </w:rPr>
      <w:t>14</w:t>
    </w:r>
    <w:r>
      <w:rPr>
        <w:rFonts w:ascii="宋体" w:hAnsi="宋体" w:eastAsia="宋体" w:cs="宋体"/>
        <w:spacing w:val="9"/>
        <w:position w:val="-4"/>
        <w:sz w:val="28"/>
        <w:szCs w:val="28"/>
      </w:rPr>
      <w:t xml:space="preserve"> </w:t>
    </w:r>
    <w:r>
      <w:rPr>
        <w:rFonts w:ascii="宋体" w:hAnsi="宋体" w:eastAsia="宋体" w:cs="宋体"/>
        <w:spacing w:val="-11"/>
        <w:position w:val="-4"/>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7412"/>
      <w:rPr>
        <w:rFonts w:ascii="宋体" w:hAnsi="宋体" w:eastAsia="宋体" w:cs="宋体"/>
        <w:sz w:val="28"/>
        <w:szCs w:val="28"/>
      </w:rPr>
    </w:pPr>
    <w:r>
      <w:rPr>
        <w:rFonts w:ascii="宋体" w:hAnsi="宋体" w:eastAsia="宋体" w:cs="宋体"/>
        <w:spacing w:val="-5"/>
        <w:position w:val="-4"/>
        <w:sz w:val="28"/>
        <w:szCs w:val="28"/>
      </w:rPr>
      <w:t>-</w:t>
    </w:r>
    <w:r>
      <w:rPr>
        <w:rFonts w:ascii="宋体" w:hAnsi="宋体" w:eastAsia="宋体" w:cs="宋体"/>
        <w:spacing w:val="11"/>
        <w:position w:val="-4"/>
        <w:sz w:val="28"/>
        <w:szCs w:val="28"/>
      </w:rPr>
      <w:t xml:space="preserve"> </w:t>
    </w:r>
    <w:r>
      <w:rPr>
        <w:rFonts w:ascii="宋体" w:hAnsi="宋体" w:eastAsia="宋体" w:cs="宋体"/>
        <w:spacing w:val="-5"/>
        <w:position w:val="-4"/>
        <w:sz w:val="28"/>
        <w:szCs w:val="28"/>
      </w:rPr>
      <w:t>47</w:t>
    </w:r>
    <w:r>
      <w:rPr>
        <w:rFonts w:ascii="宋体" w:hAnsi="宋体" w:eastAsia="宋体" w:cs="宋体"/>
        <w:spacing w:val="9"/>
        <w:position w:val="-4"/>
        <w:sz w:val="28"/>
        <w:szCs w:val="28"/>
      </w:rPr>
      <w:t xml:space="preserve"> </w:t>
    </w:r>
    <w:r>
      <w:rPr>
        <w:rFonts w:ascii="宋体" w:hAnsi="宋体" w:eastAsia="宋体" w:cs="宋体"/>
        <w:spacing w:val="-5"/>
        <w:position w:val="-4"/>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5C2DE"/>
    <w:multiLevelType w:val="singleLevel"/>
    <w:tmpl w:val="2CB5C2D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40000C7"/>
    <w:rsid w:val="047D34C5"/>
    <w:rsid w:val="04A3117E"/>
    <w:rsid w:val="0A656ED5"/>
    <w:rsid w:val="0AF4215E"/>
    <w:rsid w:val="0CA02447"/>
    <w:rsid w:val="21B77BBF"/>
    <w:rsid w:val="26E86A6C"/>
    <w:rsid w:val="27076EF2"/>
    <w:rsid w:val="30442F65"/>
    <w:rsid w:val="32146967"/>
    <w:rsid w:val="41E77BF5"/>
    <w:rsid w:val="49282FCC"/>
    <w:rsid w:val="4EA2147C"/>
    <w:rsid w:val="50CC06E1"/>
    <w:rsid w:val="56F57AE6"/>
    <w:rsid w:val="5934151A"/>
    <w:rsid w:val="5D7347B5"/>
    <w:rsid w:val="6D192AA9"/>
    <w:rsid w:val="6E2A45E8"/>
    <w:rsid w:val="73974727"/>
    <w:rsid w:val="745F3497"/>
    <w:rsid w:val="75BE243F"/>
    <w:rsid w:val="75DE488F"/>
    <w:rsid w:val="76424E1E"/>
    <w:rsid w:val="7D364FB1"/>
    <w:rsid w:val="7F1902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toc 1"/>
    <w:basedOn w:val="1"/>
    <w:next w:val="1"/>
    <w:uiPriority w:val="0"/>
  </w:style>
  <w:style w:type="paragraph" w:styleId="5">
    <w:name w:val="toc 2"/>
    <w:basedOn w:val="1"/>
    <w:next w:val="1"/>
    <w:uiPriority w:val="0"/>
    <w:pPr>
      <w:ind w:left="420" w:leftChars="200"/>
    </w:p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28</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2022-01-29T11:29:00Z</dcterms:created>
  <dc:creator>Administrator</dc:creator>
  <cp:lastModifiedBy>P&amp;G家旺</cp:lastModifiedBy>
  <dcterms:modified xsi:type="dcterms:W3CDTF">2022-02-15T02:59:00Z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2022-02-08T09:08:41Z</vt:filetime>
  </property>
  <property fmtid="{D5CDD505-2E9C-101B-9397-08002B2CF9AE}" pid="4" name="KSOProductBuildVer">
    <vt:lpwstr>2052-11.1.0.11294</vt:lpwstr>
  </property>
  <property fmtid="{D5CDD505-2E9C-101B-9397-08002B2CF9AE}" pid="5" name="ICV">
    <vt:lpwstr>4D7988EC7B264CE8A828FECBA3708F79</vt:lpwstr>
  </property>
</Properties>
</file>